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22DADAF0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„Jednorazowe badanie roczne </w:t>
      </w:r>
      <w:r w:rsidR="003247A9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spół</w:t>
      </w:r>
      <w:r w:rsidR="00AC758D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ek</w:t>
      </w:r>
      <w:r w:rsidR="003247A9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obrotu – </w:t>
      </w:r>
      <w:r w:rsidR="004E6AE5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paliwa gazowe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”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699329D5" w:rsidR="004C0D9F" w:rsidRPr="007A1BA8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7A1BA8">
        <w:rPr>
          <w:rFonts w:ascii="Cambria" w:hAnsi="Cambria"/>
          <w:color w:val="000000" w:themeColor="text1"/>
          <w:sz w:val="22"/>
          <w:szCs w:val="22"/>
        </w:rPr>
        <w:t xml:space="preserve">Do wypełnienia formularza zobowiązane są </w:t>
      </w:r>
      <w:r w:rsidR="00890834" w:rsidRPr="007A1BA8">
        <w:rPr>
          <w:rFonts w:ascii="Cambria" w:hAnsi="Cambria"/>
          <w:color w:val="000000" w:themeColor="text1"/>
          <w:sz w:val="22"/>
          <w:szCs w:val="22"/>
        </w:rPr>
        <w:t>przedsiębiorstwa</w:t>
      </w:r>
      <w:r w:rsidRPr="007A1BA8">
        <w:rPr>
          <w:rFonts w:ascii="Cambria" w:hAnsi="Cambria"/>
          <w:color w:val="000000" w:themeColor="text1"/>
          <w:sz w:val="22"/>
          <w:szCs w:val="22"/>
        </w:rPr>
        <w:t xml:space="preserve"> zajmujące się </w:t>
      </w:r>
      <w:r w:rsidR="00B57B18" w:rsidRPr="007A1BA8">
        <w:rPr>
          <w:rFonts w:ascii="Cambria" w:hAnsi="Cambria"/>
          <w:color w:val="000000" w:themeColor="text1"/>
          <w:sz w:val="22"/>
          <w:szCs w:val="22"/>
        </w:rPr>
        <w:t>obrotem paliwami gazowymi</w:t>
      </w:r>
      <w:r w:rsidR="00C86FD3" w:rsidRPr="007A1BA8">
        <w:rPr>
          <w:rFonts w:ascii="Cambria" w:hAnsi="Cambria"/>
          <w:color w:val="000000" w:themeColor="text1"/>
          <w:sz w:val="22"/>
          <w:szCs w:val="22"/>
        </w:rPr>
        <w:t xml:space="preserve">, </w:t>
      </w:r>
      <w:r w:rsidRPr="007A1BA8">
        <w:rPr>
          <w:rFonts w:ascii="Cambria" w:hAnsi="Cambria"/>
          <w:color w:val="000000" w:themeColor="text1"/>
          <w:sz w:val="22"/>
          <w:szCs w:val="22"/>
        </w:rPr>
        <w:t>posiadające koncesję Prezesa Urzędu Regulacji Energetyki</w:t>
      </w:r>
      <w:r w:rsidR="007A1BA8" w:rsidRPr="007A1BA8">
        <w:rPr>
          <w:rFonts w:ascii="Cambria" w:hAnsi="Cambria"/>
          <w:color w:val="000000" w:themeColor="text1"/>
          <w:sz w:val="22"/>
          <w:szCs w:val="22"/>
        </w:rPr>
        <w:t xml:space="preserve">, dalej: </w:t>
      </w:r>
      <w:r w:rsidR="007A1BA8" w:rsidRPr="007A1BA8">
        <w:rPr>
          <w:rFonts w:ascii="Cambria" w:hAnsi="Cambria"/>
          <w:i/>
          <w:color w:val="000000" w:themeColor="text1"/>
          <w:sz w:val="22"/>
          <w:szCs w:val="22"/>
        </w:rPr>
        <w:t>Prezesa URE,</w:t>
      </w:r>
      <w:r w:rsidRPr="007A1BA8">
        <w:rPr>
          <w:rFonts w:ascii="Cambria" w:hAnsi="Cambria"/>
          <w:color w:val="000000" w:themeColor="text1"/>
          <w:sz w:val="22"/>
          <w:szCs w:val="22"/>
        </w:rPr>
        <w:t xml:space="preserve"> na działalność gospodarczą w </w:t>
      </w:r>
      <w:r w:rsidR="00C86FD3" w:rsidRPr="007A1BA8">
        <w:rPr>
          <w:rFonts w:ascii="Cambria" w:hAnsi="Cambria"/>
          <w:color w:val="000000" w:themeColor="text1"/>
          <w:sz w:val="22"/>
          <w:szCs w:val="22"/>
        </w:rPr>
        <w:t xml:space="preserve"> tym </w:t>
      </w:r>
      <w:r w:rsidR="001434FA">
        <w:rPr>
          <w:rFonts w:ascii="Cambria" w:hAnsi="Cambria"/>
          <w:color w:val="000000" w:themeColor="text1"/>
          <w:sz w:val="22"/>
          <w:szCs w:val="22"/>
        </w:rPr>
        <w:t>zakresie, dalej:</w:t>
      </w:r>
      <w:r w:rsidR="00D023AF" w:rsidRPr="007A1BA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448C6" w:rsidRPr="001434FA">
        <w:rPr>
          <w:rFonts w:ascii="Cambria" w:hAnsi="Cambria"/>
          <w:i/>
          <w:color w:val="000000" w:themeColor="text1"/>
          <w:sz w:val="22"/>
          <w:szCs w:val="22"/>
        </w:rPr>
        <w:t>spółki obrotu</w:t>
      </w:r>
      <w:r w:rsidR="00D023AF" w:rsidRPr="001434FA">
        <w:rPr>
          <w:rFonts w:ascii="Cambria" w:hAnsi="Cambria"/>
          <w:i/>
          <w:color w:val="000000" w:themeColor="text1"/>
          <w:sz w:val="22"/>
          <w:szCs w:val="22"/>
        </w:rPr>
        <w:t>.</w:t>
      </w:r>
      <w:r w:rsidR="003849B8" w:rsidRPr="007A1BA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7F6E30A1" w14:textId="163FA56A" w:rsidR="00C44BDF" w:rsidRPr="007A1BA8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7A1BA8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7A1BA8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 w:rsidRPr="007A1BA8">
        <w:rPr>
          <w:rStyle w:val="Teksttreci4"/>
          <w:rFonts w:ascii="Cambria" w:hAnsi="Cambria"/>
          <w:b w:val="0"/>
          <w:color w:val="000000"/>
        </w:rPr>
        <w:t>2</w:t>
      </w:r>
      <w:r w:rsidR="009E4F38" w:rsidRPr="007A1BA8">
        <w:rPr>
          <w:rStyle w:val="Teksttreci4"/>
          <w:rFonts w:ascii="Cambria" w:hAnsi="Cambria"/>
          <w:b w:val="0"/>
          <w:color w:val="000000"/>
        </w:rPr>
        <w:t>1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 xml:space="preserve"> r.</w:t>
      </w:r>
      <w:r w:rsidR="00AE750B" w:rsidRPr="007A1BA8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>do 31 grudnia 20</w:t>
      </w:r>
      <w:r w:rsidR="00E97CF5" w:rsidRPr="007A1BA8">
        <w:rPr>
          <w:rStyle w:val="Teksttreci4"/>
          <w:rFonts w:ascii="Cambria" w:hAnsi="Cambria"/>
          <w:b w:val="0"/>
          <w:color w:val="000000"/>
        </w:rPr>
        <w:t>2</w:t>
      </w:r>
      <w:r w:rsidR="009E4F38" w:rsidRPr="007A1BA8">
        <w:rPr>
          <w:rStyle w:val="Teksttreci4"/>
          <w:rFonts w:ascii="Cambria" w:hAnsi="Cambria"/>
          <w:b w:val="0"/>
          <w:color w:val="000000"/>
        </w:rPr>
        <w:t>1</w:t>
      </w:r>
      <w:r w:rsidR="007701B0" w:rsidRPr="007A1BA8">
        <w:rPr>
          <w:rStyle w:val="Teksttreci4"/>
          <w:rFonts w:ascii="Cambria" w:hAnsi="Cambria"/>
          <w:b w:val="0"/>
          <w:color w:val="000000"/>
        </w:rPr>
        <w:t xml:space="preserve"> r.</w:t>
      </w:r>
      <w:r w:rsidR="007A1BA8" w:rsidRPr="007A1BA8">
        <w:rPr>
          <w:rStyle w:val="Teksttreci4"/>
          <w:rFonts w:ascii="Cambria" w:hAnsi="Cambria"/>
          <w:b w:val="0"/>
          <w:color w:val="000000"/>
        </w:rPr>
        <w:t xml:space="preserve"> lub stan na dzień 31 grudnia 2021 r.</w:t>
      </w:r>
    </w:p>
    <w:p w14:paraId="2BAEA269" w14:textId="1D0AD19F" w:rsidR="00FD1510" w:rsidRPr="00AE750B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41F0542C" w14:textId="031E1FC1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 należy przesyłać w pliku Excel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pocztą elektroniczną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 adres e-mail: </w:t>
      </w:r>
      <w:r>
        <w:rPr>
          <w:rStyle w:val="Teksttreci17"/>
          <w:rFonts w:ascii="Cambria" w:hAnsi="Cambria"/>
          <w:color w:val="000000"/>
          <w:sz w:val="22"/>
          <w:szCs w:val="22"/>
        </w:rPr>
        <w:t>drr.monitoring</w:t>
      </w:r>
      <w:r w:rsidRPr="00AE750B">
        <w:rPr>
          <w:rStyle w:val="Teksttreci17"/>
          <w:rFonts w:ascii="Cambria" w:hAnsi="Cambria"/>
          <w:color w:val="000000"/>
          <w:sz w:val="22"/>
          <w:szCs w:val="22"/>
        </w:rPr>
        <w:t>@ure.</w:t>
      </w:r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niż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do </w:t>
      </w:r>
      <w:r w:rsidR="00B57B18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21 lutego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202</w:t>
      </w:r>
      <w:r w:rsidR="009E4F38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W przypadku pytań proszę o kontakt na adres e-mail: agnieszka.luba@ure.gov.pl</w:t>
      </w:r>
    </w:p>
    <w:p w14:paraId="30CB2019" w14:textId="512F331C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spółki obrotu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448C6">
        <w:rPr>
          <w:rStyle w:val="Teksttreci"/>
          <w:rFonts w:ascii="Cambria" w:hAnsi="Cambria"/>
          <w:color w:val="000000"/>
          <w:sz w:val="22"/>
          <w:szCs w:val="22"/>
        </w:rPr>
        <w:t>obrót_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gaz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9E4F38">
        <w:rPr>
          <w:rStyle w:val="Teksttreci"/>
          <w:rFonts w:ascii="Cambria" w:hAnsi="Cambria"/>
          <w:color w:val="000000"/>
          <w:sz w:val="22"/>
          <w:szCs w:val="22"/>
        </w:rPr>
        <w:t>1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774BADB1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</w:t>
      </w:r>
      <w:proofErr w:type="spellStart"/>
      <w:r w:rsidR="006B738A" w:rsidRPr="00AE750B">
        <w:rPr>
          <w:rFonts w:ascii="Cambria" w:hAnsi="Cambria"/>
          <w:sz w:val="22"/>
          <w:szCs w:val="22"/>
        </w:rPr>
        <w:t>ePUAP</w:t>
      </w:r>
      <w:proofErr w:type="spellEnd"/>
      <w:r w:rsidR="006B738A" w:rsidRPr="00AE750B">
        <w:rPr>
          <w:rFonts w:ascii="Cambria" w:hAnsi="Cambria"/>
          <w:sz w:val="22"/>
          <w:szCs w:val="22"/>
        </w:rPr>
        <w:t xml:space="preserve">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 xml:space="preserve">zgodnie z zasadami reprezentacji </w:t>
      </w:r>
      <w:r w:rsidR="00691AB0">
        <w:rPr>
          <w:rFonts w:ascii="Cambria" w:hAnsi="Cambria" w:cs="Cambria"/>
          <w:sz w:val="22"/>
          <w:szCs w:val="22"/>
        </w:rPr>
        <w:t>spółki</w:t>
      </w:r>
      <w:r w:rsidR="009B6C63">
        <w:rPr>
          <w:rFonts w:ascii="Cambria" w:hAnsi="Cambria" w:cs="Cambria"/>
          <w:sz w:val="22"/>
          <w:szCs w:val="22"/>
        </w:rPr>
        <w:t xml:space="preserve">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B57B18">
        <w:rPr>
          <w:rStyle w:val="Teksttreci"/>
          <w:rFonts w:ascii="Cambria" w:hAnsi="Cambria"/>
          <w:color w:val="000000"/>
          <w:sz w:val="22"/>
          <w:szCs w:val="22"/>
        </w:rPr>
        <w:t>21 lutego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F5402A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9E4F38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</w:p>
    <w:p w14:paraId="02A28CB3" w14:textId="08D10E7D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upoważnionych </w:t>
      </w:r>
      <w:r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 xml:space="preserve">do reprezentowania </w:t>
      </w:r>
      <w:r w:rsidR="001434FA">
        <w:rPr>
          <w:rFonts w:ascii="Cambria" w:hAnsi="Cambria" w:cs="Verdana"/>
          <w:sz w:val="22"/>
          <w:szCs w:val="22"/>
        </w:rPr>
        <w:t xml:space="preserve">spółki obrotu </w:t>
      </w:r>
      <w:r w:rsidRPr="00AE750B">
        <w:rPr>
          <w:rFonts w:ascii="Cambria" w:hAnsi="Cambria" w:cs="Verdana"/>
          <w:sz w:val="22"/>
          <w:szCs w:val="22"/>
        </w:rPr>
        <w:t>ujawnionych we właściwym rejestrze. W przypadku złożenia dokumentu stwierdzającego udzielenie pełnomocnictwa lub prokury oraz jego odpisu, wypisu lub kopii, należy uiścić opłatę skarbową w wysokości 17 zł - od każdego stosunku pełnomocnictwa bądź prokury [część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>(</w:t>
      </w:r>
      <w:r w:rsidR="001434FA">
        <w:rPr>
          <w:rFonts w:ascii="Cambria" w:hAnsi="Cambria"/>
          <w:sz w:val="22"/>
          <w:szCs w:val="22"/>
        </w:rPr>
        <w:t xml:space="preserve">tj. </w:t>
      </w:r>
      <w:r w:rsidR="001434FA" w:rsidRPr="00AE750B">
        <w:rPr>
          <w:rFonts w:ascii="Cambria" w:hAnsi="Cambria"/>
          <w:sz w:val="22"/>
          <w:szCs w:val="22"/>
        </w:rPr>
        <w:t xml:space="preserve">Dz. U. z </w:t>
      </w:r>
      <w:r w:rsidR="001434FA">
        <w:rPr>
          <w:rFonts w:ascii="Cambria" w:hAnsi="Cambria"/>
          <w:sz w:val="22"/>
          <w:szCs w:val="22"/>
        </w:rPr>
        <w:t>2021 r. poz. 1923)</w:t>
      </w:r>
      <w:r w:rsidR="001434FA" w:rsidRPr="00AE750B">
        <w:rPr>
          <w:rFonts w:ascii="Cambria" w:hAnsi="Cambria" w:cs="Verdana"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Zapłata opłaty skarbowej powinna </w:t>
      </w:r>
      <w:r w:rsidRPr="00AE750B">
        <w:rPr>
          <w:rFonts w:ascii="Cambria" w:hAnsi="Cambria" w:cs="Verdana"/>
          <w:sz w:val="22"/>
          <w:szCs w:val="22"/>
        </w:rPr>
        <w:lastRenderedPageBreak/>
        <w:t>być dokonywana na rachunek Urzędu Miasta Stołecznego Warszawy</w:t>
      </w:r>
      <w:r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Pr="00F1366E">
        <w:rPr>
          <w:rFonts w:ascii="Cambria" w:hAnsi="Cambria" w:cs="Verdana"/>
          <w:b/>
          <w:sz w:val="22"/>
          <w:szCs w:val="22"/>
        </w:rPr>
        <w:t>21 1030 1508 0000 0005 5000 0070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4CEA32B9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dnia               </w:t>
      </w:r>
      <w:r w:rsidRPr="00AE750B">
        <w:rPr>
          <w:rFonts w:ascii="Cambria" w:hAnsi="Cambria" w:cs="Verdana"/>
          <w:sz w:val="22"/>
          <w:szCs w:val="22"/>
        </w:rPr>
        <w:t>16 kwietnia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</w:t>
      </w:r>
      <w:r w:rsidR="001434FA">
        <w:rPr>
          <w:rFonts w:ascii="Cambria" w:hAnsi="Cambria" w:cs="Verdana"/>
          <w:sz w:val="22"/>
          <w:szCs w:val="22"/>
        </w:rPr>
        <w:t>(tj. Dz. U. z 2020 r. poz. 1913,                          ze</w:t>
      </w:r>
      <w:r w:rsidR="001434FA" w:rsidRPr="00AE750B">
        <w:rPr>
          <w:rFonts w:ascii="Cambria" w:hAnsi="Cambria" w:cs="Verdana"/>
          <w:sz w:val="22"/>
          <w:szCs w:val="22"/>
        </w:rPr>
        <w:t xml:space="preserve"> zm.)</w:t>
      </w:r>
      <w:r w:rsidRPr="00AE750B">
        <w:rPr>
          <w:rFonts w:ascii="Cambria" w:hAnsi="Cambria" w:cs="Verdana"/>
          <w:sz w:val="22"/>
          <w:szCs w:val="22"/>
        </w:rPr>
        <w:t>, a zatem jako takie nie powinny być ujawniane podmiotom trzecim, prosimy</w:t>
      </w:r>
      <w:r w:rsidR="00887FF6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>o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3632DD77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Spółkę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błędów w przesłanych do URE danych, </w:t>
      </w:r>
      <w:r w:rsidR="007A1BA8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 xml:space="preserve">należy </w:t>
      </w:r>
      <w:r w:rsidR="00CC4FC9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tj. </w:t>
      </w:r>
      <w:r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rok-miesiąc-dzień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32486F91" w:rsidR="00B247A3" w:rsidRPr="009E4F38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691AB0">
        <w:rPr>
          <w:rStyle w:val="Teksttreci"/>
          <w:rFonts w:ascii="Cambria" w:hAnsi="Cambria"/>
          <w:color w:val="000000"/>
          <w:sz w:val="22"/>
          <w:szCs w:val="22"/>
        </w:rPr>
        <w:t>obrotu paliwami gazowymi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1C42D94" w14:textId="4682F115" w:rsidR="009E4F38" w:rsidRPr="009E4F38" w:rsidRDefault="009E4F38" w:rsidP="00636E76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Agregacja danych:</w:t>
      </w:r>
    </w:p>
    <w:p w14:paraId="1A797230" w14:textId="35BD24B9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Agregacja według liczby odbiorców</w:t>
      </w:r>
    </w:p>
    <w:p w14:paraId="401E4AA5" w14:textId="5CC7A0D3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Jako liczbę odbiorców rozumie się osoby fizyczne identyfikowane numerem PESEL lub prawne identyfikowane jednym numerem NIP bez względu na ilość posiadanych umów sprzedaży czy punktów pomiarowych (wyjątek: odbiorca posiada dwie umowy – jedną w grupie taryfowej </w:t>
      </w:r>
      <w:r w:rsidR="0045125E" w:rsidRPr="0045125E">
        <w:rPr>
          <w:rFonts w:ascii="Cambria" w:hAnsi="Cambria"/>
          <w:sz w:val="22"/>
          <w:szCs w:val="22"/>
        </w:rPr>
        <w:t>W 1-4</w:t>
      </w:r>
      <w:r w:rsidRPr="0045125E">
        <w:rPr>
          <w:rFonts w:ascii="Cambria" w:hAnsi="Cambria"/>
          <w:sz w:val="22"/>
          <w:szCs w:val="22"/>
        </w:rPr>
        <w:t xml:space="preserve">, drugą w grupach taryfowych </w:t>
      </w:r>
      <w:r w:rsidR="0045125E" w:rsidRPr="0045125E">
        <w:rPr>
          <w:rFonts w:ascii="Cambria" w:hAnsi="Cambria"/>
          <w:sz w:val="22"/>
          <w:szCs w:val="22"/>
        </w:rPr>
        <w:t>W 5-13</w:t>
      </w:r>
      <w:r w:rsidRPr="0045125E">
        <w:rPr>
          <w:rFonts w:ascii="Cambria" w:hAnsi="Cambria"/>
          <w:sz w:val="22"/>
          <w:szCs w:val="22"/>
        </w:rPr>
        <w:t>)</w:t>
      </w:r>
    </w:p>
    <w:p w14:paraId="5A0ECA1B" w14:textId="77777777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45125E">
        <w:rPr>
          <w:rFonts w:ascii="Cambria" w:hAnsi="Cambria"/>
          <w:sz w:val="22"/>
          <w:szCs w:val="22"/>
          <w:u w:val="single"/>
        </w:rPr>
        <w:t>Uwaga:</w:t>
      </w:r>
    </w:p>
    <w:p w14:paraId="24789EDB" w14:textId="64FE0FE8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Przykład 1: Ten sam odbiorca (PESEL) posiada 2 mieszkania, zaopatrzane w </w:t>
      </w:r>
      <w:r w:rsidR="00691AB0" w:rsidRPr="0045125E">
        <w:rPr>
          <w:rFonts w:ascii="Cambria" w:hAnsi="Cambria"/>
          <w:sz w:val="22"/>
          <w:szCs w:val="22"/>
        </w:rPr>
        <w:t>paliwa gazowe</w:t>
      </w:r>
      <w:r w:rsidRPr="0045125E">
        <w:rPr>
          <w:rFonts w:ascii="Cambria" w:hAnsi="Cambria"/>
          <w:sz w:val="22"/>
          <w:szCs w:val="22"/>
        </w:rPr>
        <w:t xml:space="preserve"> na podstawie 2 umów sprzedaży </w:t>
      </w:r>
      <w:r w:rsidR="00691AB0" w:rsidRPr="0045125E">
        <w:rPr>
          <w:rFonts w:ascii="Cambria" w:hAnsi="Cambria"/>
          <w:sz w:val="22"/>
          <w:szCs w:val="22"/>
        </w:rPr>
        <w:t>paliw gazowych</w:t>
      </w:r>
      <w:r w:rsidRPr="0045125E">
        <w:rPr>
          <w:rFonts w:ascii="Cambria" w:hAnsi="Cambria"/>
          <w:sz w:val="22"/>
          <w:szCs w:val="22"/>
        </w:rPr>
        <w:t xml:space="preserve">/umowy kompleksowej - odbiorcę (PESEL) liczymy tylko raz: w grupie taryfowej </w:t>
      </w:r>
      <w:r w:rsidR="00691AB0" w:rsidRPr="0045125E">
        <w:rPr>
          <w:rFonts w:ascii="Cambria" w:hAnsi="Cambria"/>
          <w:sz w:val="22"/>
          <w:szCs w:val="22"/>
        </w:rPr>
        <w:t>W 1-4.</w:t>
      </w:r>
    </w:p>
    <w:p w14:paraId="4DB8298E" w14:textId="322E95FE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Przykład 2: Ten sam odbiorca (PESEL) posiada dom oraz prowadzi działalność rolniczą (bez NIP), z tego tytułu ma dwie odrębne umowy sprzedaży/umowy kompleksowe – odbiorcę (PESEL) liczymy 2 razy: 1 w grupie taryfowej </w:t>
      </w:r>
      <w:r w:rsidR="00691AB0" w:rsidRPr="0045125E">
        <w:rPr>
          <w:rFonts w:ascii="Cambria" w:hAnsi="Cambria"/>
          <w:sz w:val="22"/>
          <w:szCs w:val="22"/>
        </w:rPr>
        <w:t>W 1-4</w:t>
      </w:r>
      <w:r w:rsidRPr="0045125E">
        <w:rPr>
          <w:rFonts w:ascii="Cambria" w:hAnsi="Cambria"/>
          <w:sz w:val="22"/>
          <w:szCs w:val="22"/>
        </w:rPr>
        <w:t xml:space="preserve">, 1 w grupie taryfowej </w:t>
      </w:r>
      <w:r w:rsidR="00691AB0" w:rsidRPr="0045125E">
        <w:rPr>
          <w:rFonts w:ascii="Cambria" w:hAnsi="Cambria"/>
          <w:sz w:val="22"/>
          <w:szCs w:val="22"/>
        </w:rPr>
        <w:t>W 5-13</w:t>
      </w:r>
      <w:r w:rsidRPr="0045125E">
        <w:rPr>
          <w:rFonts w:ascii="Cambria" w:hAnsi="Cambria"/>
          <w:sz w:val="22"/>
          <w:szCs w:val="22"/>
        </w:rPr>
        <w:t>.</w:t>
      </w:r>
    </w:p>
    <w:p w14:paraId="73D8CDEA" w14:textId="77777777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2991491D" w14:textId="6ECDB537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Agregacja według PP</w:t>
      </w:r>
      <w:r w:rsidR="00691AB0" w:rsidRPr="0045125E">
        <w:rPr>
          <w:rFonts w:ascii="Cambria" w:hAnsi="Cambria"/>
          <w:sz w:val="22"/>
          <w:szCs w:val="22"/>
        </w:rPr>
        <w:t>G</w:t>
      </w:r>
      <w:r w:rsidRPr="0045125E">
        <w:rPr>
          <w:rFonts w:ascii="Cambria" w:hAnsi="Cambria"/>
          <w:sz w:val="22"/>
          <w:szCs w:val="22"/>
        </w:rPr>
        <w:t xml:space="preserve"> (punktów poboru </w:t>
      </w:r>
      <w:r w:rsidR="00691AB0" w:rsidRPr="0045125E">
        <w:rPr>
          <w:rFonts w:ascii="Cambria" w:hAnsi="Cambria"/>
          <w:sz w:val="22"/>
          <w:szCs w:val="22"/>
        </w:rPr>
        <w:t>gazu</w:t>
      </w:r>
      <w:r w:rsidRPr="0045125E">
        <w:rPr>
          <w:rFonts w:ascii="Cambria" w:hAnsi="Cambria"/>
          <w:sz w:val="22"/>
          <w:szCs w:val="22"/>
        </w:rPr>
        <w:t>)</w:t>
      </w:r>
    </w:p>
    <w:p w14:paraId="3B696230" w14:textId="66D0E94A" w:rsidR="009E4F38" w:rsidRPr="0045125E" w:rsidRDefault="009E4F38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lastRenderedPageBreak/>
        <w:t xml:space="preserve">Punkt poboru </w:t>
      </w:r>
      <w:r w:rsidR="00B57B18">
        <w:rPr>
          <w:rFonts w:ascii="Cambria" w:hAnsi="Cambria"/>
          <w:sz w:val="22"/>
          <w:szCs w:val="22"/>
        </w:rPr>
        <w:t xml:space="preserve">gazu </w:t>
      </w:r>
      <w:r w:rsidRPr="0045125E">
        <w:rPr>
          <w:rFonts w:ascii="Cambria" w:hAnsi="Cambria"/>
          <w:sz w:val="22"/>
          <w:szCs w:val="22"/>
        </w:rPr>
        <w:t xml:space="preserve">to punkt pomiarowy w instalacji lub sieci, dla którego dokonuje się rozliczeń oraz dla którego może nastąpić zmiana sprzedawcy. </w:t>
      </w:r>
    </w:p>
    <w:p w14:paraId="17A83928" w14:textId="77777777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031FECE5" w14:textId="0BC9B710" w:rsidR="00636E76" w:rsidRPr="0045125E" w:rsidRDefault="00636E76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Grupy taryfowe</w:t>
      </w:r>
      <w:r w:rsidR="00026EA7">
        <w:rPr>
          <w:rFonts w:ascii="Cambria" w:hAnsi="Cambria"/>
          <w:sz w:val="22"/>
          <w:szCs w:val="22"/>
        </w:rPr>
        <w:t xml:space="preserve"> (dla gazu wysokometanowego według taryfy Operatora)</w:t>
      </w:r>
      <w:r w:rsidRPr="0045125E">
        <w:rPr>
          <w:rFonts w:ascii="Cambria" w:hAnsi="Cambria"/>
          <w:sz w:val="22"/>
          <w:szCs w:val="22"/>
        </w:rPr>
        <w:t>:</w:t>
      </w:r>
    </w:p>
    <w:p w14:paraId="28677B50" w14:textId="025101C4" w:rsidR="009E4F38" w:rsidRPr="0045125E" w:rsidRDefault="00604A13" w:rsidP="00AC758D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noProof/>
          <w:sz w:val="22"/>
          <w:szCs w:val="22"/>
        </w:rPr>
        <w:drawing>
          <wp:inline distT="0" distB="0" distL="0" distR="0" wp14:anchorId="78BD7299" wp14:editId="4181DC8B">
            <wp:extent cx="5794375" cy="3219999"/>
            <wp:effectExtent l="0" t="0" r="0" b="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21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CE753" w14:textId="77777777" w:rsidR="002F10D2" w:rsidRDefault="002F10D2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Grupy taryfowe (gaz zaazotowany):</w:t>
      </w:r>
    </w:p>
    <w:p w14:paraId="7AE31033" w14:textId="06932845" w:rsidR="002F10D2" w:rsidRDefault="0083593F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odbiorcy w gospodarstwach domowych</w:t>
      </w:r>
    </w:p>
    <w:p w14:paraId="73F16571" w14:textId="567C9A42" w:rsidR="002F10D2" w:rsidRDefault="0083593F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pozostali odbiorcy</w:t>
      </w:r>
    </w:p>
    <w:p w14:paraId="0536C2DA" w14:textId="20DDD5C0" w:rsidR="0083593F" w:rsidRDefault="0083593F" w:rsidP="00AC758D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58DA5205" w14:textId="44B8587C" w:rsidR="003D42A1" w:rsidRDefault="0083593F" w:rsidP="0083593F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W części dotyczącej Bilansu gazu wysokometanowego, Bilansu gazu zaazotowanego, Bilansu gazu LNG odbiorców końcowych klasyfikujemy według wskazać w formularzu (sektorowo) tj. przemysł, rolnictwo, sektor usług i handlu, </w:t>
      </w:r>
      <w:proofErr w:type="spellStart"/>
      <w:r>
        <w:rPr>
          <w:rFonts w:ascii="Cambria" w:hAnsi="Cambria"/>
          <w:sz w:val="22"/>
          <w:szCs w:val="22"/>
        </w:rPr>
        <w:t>sektro</w:t>
      </w:r>
      <w:proofErr w:type="spellEnd"/>
      <w:r>
        <w:rPr>
          <w:rFonts w:ascii="Cambria" w:hAnsi="Cambria"/>
          <w:sz w:val="22"/>
          <w:szCs w:val="22"/>
        </w:rPr>
        <w:t xml:space="preserve"> użyteczności publicznej, gospodarstwa domowe.</w:t>
      </w:r>
    </w:p>
    <w:p w14:paraId="6F2765C2" w14:textId="77777777" w:rsidR="0083593F" w:rsidRPr="0045125E" w:rsidRDefault="0083593F" w:rsidP="0083593F">
      <w:pPr>
        <w:pStyle w:val="Teksttreci1"/>
        <w:spacing w:before="0" w:line="36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</w:p>
    <w:p w14:paraId="54A7F3DA" w14:textId="617D77AE" w:rsidR="008C47EF" w:rsidRPr="0045125E" w:rsidRDefault="00BA3FCA" w:rsidP="00AC758D">
      <w:pPr>
        <w:pStyle w:val="Teksttreci1"/>
        <w:numPr>
          <w:ilvl w:val="0"/>
          <w:numId w:val="6"/>
        </w:numPr>
        <w:spacing w:before="0" w:line="360" w:lineRule="auto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785F48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Aktywna sprzedaż</w:t>
      </w:r>
      <w:r w:rsidR="008C47EF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="00B57B18" w:rsidRPr="00B57B18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według podpisanych umów o świadczenie usług dystrybucji</w:t>
      </w:r>
      <w:r w:rsidRPr="0045125E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8C47EF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9B358E" w:rsidRPr="0045125E">
        <w:rPr>
          <w:rFonts w:ascii="Cambria" w:hAnsi="Cambria"/>
          <w:color w:val="000000"/>
          <w:sz w:val="22"/>
          <w:szCs w:val="22"/>
        </w:rPr>
        <w:t xml:space="preserve">określenie przez każdego z monitorowanych sprzedawców z jakimi </w:t>
      </w:r>
      <w:r w:rsidR="00887FF6">
        <w:rPr>
          <w:rFonts w:ascii="Cambria" w:hAnsi="Cambria"/>
          <w:color w:val="000000"/>
          <w:sz w:val="22"/>
          <w:szCs w:val="22"/>
        </w:rPr>
        <w:t>OSD</w:t>
      </w:r>
      <w:r w:rsidR="009B358E" w:rsidRPr="0045125E">
        <w:rPr>
          <w:rFonts w:ascii="Cambria" w:hAnsi="Cambria"/>
          <w:color w:val="000000"/>
          <w:sz w:val="22"/>
          <w:szCs w:val="22"/>
        </w:rPr>
        <w:t xml:space="preserve"> ma podpisaną umowę </w:t>
      </w:r>
      <w:r w:rsidR="00B57B18">
        <w:rPr>
          <w:rFonts w:ascii="Cambria" w:hAnsi="Cambria"/>
          <w:color w:val="000000"/>
          <w:sz w:val="22"/>
          <w:szCs w:val="22"/>
        </w:rPr>
        <w:t>o świadczeniu usług dystrybucji</w:t>
      </w:r>
      <w:r w:rsidR="008C47EF" w:rsidRPr="0045125E">
        <w:rPr>
          <w:rFonts w:ascii="Cambria" w:hAnsi="Cambria"/>
          <w:color w:val="000000"/>
          <w:sz w:val="22"/>
          <w:szCs w:val="22"/>
        </w:rPr>
        <w:t xml:space="preserve"> – według stanu na dzień 31.12.2021 r.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1B7B0E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012CB4D7" w14:textId="15512781" w:rsidR="008C47EF" w:rsidRPr="0045125E" w:rsidRDefault="008C47EF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sz w:val="22"/>
          <w:szCs w:val="22"/>
        </w:rPr>
        <w:t xml:space="preserve">Formularz: </w:t>
      </w:r>
      <w:r w:rsidR="001B7B0E">
        <w:rPr>
          <w:rStyle w:val="Teksttreci"/>
          <w:rFonts w:ascii="Cambria" w:hAnsi="Cambria"/>
          <w:i/>
          <w:iCs/>
          <w:sz w:val="22"/>
          <w:szCs w:val="22"/>
        </w:rPr>
        <w:t>Aktywna sprzedaż</w:t>
      </w:r>
      <w:r w:rsidRPr="0045125E">
        <w:rPr>
          <w:rStyle w:val="Teksttreci"/>
          <w:rFonts w:ascii="Cambria" w:hAnsi="Cambria"/>
          <w:i/>
          <w:iCs/>
          <w:sz w:val="22"/>
          <w:szCs w:val="22"/>
        </w:rPr>
        <w:t xml:space="preserve"> – odbiorcy: </w:t>
      </w:r>
      <w:r w:rsidRPr="0045125E">
        <w:rPr>
          <w:rFonts w:ascii="Cambria" w:hAnsi="Cambria"/>
          <w:sz w:val="22"/>
          <w:szCs w:val="22"/>
        </w:rPr>
        <w:t>Aktywny sprzedawca (realna dostawa</w:t>
      </w:r>
      <w:r w:rsidR="009B358E" w:rsidRPr="0045125E">
        <w:rPr>
          <w:rFonts w:ascii="Cambria" w:hAnsi="Cambria"/>
          <w:sz w:val="22"/>
          <w:szCs w:val="22"/>
        </w:rPr>
        <w:t xml:space="preserve">) </w:t>
      </w:r>
      <w:r w:rsidRPr="0045125E">
        <w:rPr>
          <w:rFonts w:ascii="Cambria" w:hAnsi="Cambria"/>
          <w:sz w:val="22"/>
          <w:szCs w:val="22"/>
        </w:rPr>
        <w:t xml:space="preserve">– </w:t>
      </w:r>
      <w:r w:rsidR="009B358E" w:rsidRPr="0045125E">
        <w:rPr>
          <w:rFonts w:ascii="Cambria" w:hAnsi="Cambria"/>
          <w:sz w:val="22"/>
          <w:szCs w:val="22"/>
        </w:rPr>
        <w:t xml:space="preserve">określenie przez każdego z monitorowanych sprzedawców na sieci którego OSD prowadzi aktywną sprzedaż przynajmniej do jednego odbiorcy </w:t>
      </w:r>
      <w:r w:rsidRPr="0045125E">
        <w:rPr>
          <w:rFonts w:ascii="Cambria" w:hAnsi="Cambria"/>
          <w:sz w:val="22"/>
          <w:szCs w:val="22"/>
        </w:rPr>
        <w:t>– według stanu na dzień</w:t>
      </w:r>
      <w:r w:rsidR="001B7B0E">
        <w:rPr>
          <w:rFonts w:ascii="Cambria" w:hAnsi="Cambria"/>
          <w:sz w:val="22"/>
          <w:szCs w:val="22"/>
        </w:rPr>
        <w:t xml:space="preserve"> </w:t>
      </w:r>
      <w:r w:rsidRPr="0045125E">
        <w:rPr>
          <w:rFonts w:ascii="Cambria" w:hAnsi="Cambria"/>
          <w:sz w:val="22"/>
          <w:szCs w:val="22"/>
        </w:rPr>
        <w:t>31.12.2021 r.</w:t>
      </w:r>
      <w:r w:rsidR="0045125E" w:rsidRPr="0045125E">
        <w:rPr>
          <w:rFonts w:ascii="Cambria" w:hAnsi="Cambria"/>
          <w:sz w:val="22"/>
          <w:szCs w:val="22"/>
        </w:rPr>
        <w:t xml:space="preserve"> </w:t>
      </w:r>
      <w:r w:rsidR="001B7B0E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6632F8BD" w14:textId="652D41C7" w:rsidR="00BA3FCA" w:rsidRPr="0045125E" w:rsidRDefault="00743F03" w:rsidP="0045125E">
      <w:pPr>
        <w:pStyle w:val="Teksttreci1"/>
        <w:numPr>
          <w:ilvl w:val="0"/>
          <w:numId w:val="6"/>
        </w:numPr>
        <w:spacing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lastRenderedPageBreak/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</w:t>
      </w:r>
      <w:r w:rsidR="007E7189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-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odbiorcy posiadający umowę z cenami opartymi na 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ofercie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taryfow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ej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73BB2" w:rsidRPr="00A73BB2">
        <w:rPr>
          <w:rStyle w:val="Teksttreci"/>
          <w:rFonts w:ascii="Cambria" w:hAnsi="Cambria"/>
          <w:iCs/>
          <w:color w:val="000000"/>
          <w:sz w:val="22"/>
          <w:szCs w:val="22"/>
        </w:rPr>
        <w:t>to odbiorcy</w:t>
      </w:r>
      <w:r w:rsidR="00A73BB2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z grup taryfowych </w:t>
      </w:r>
      <w:r w:rsidR="0059029A" w:rsidRPr="0045125E">
        <w:rPr>
          <w:rFonts w:ascii="Cambria" w:hAnsi="Cambria"/>
          <w:color w:val="000000"/>
          <w:sz w:val="22"/>
          <w:szCs w:val="22"/>
        </w:rPr>
        <w:t>W 1-4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, korzystający decydujący się na zakup w oparciu o </w:t>
      </w:r>
      <w:r w:rsidR="00AC733B" w:rsidRPr="005865FF">
        <w:rPr>
          <w:rFonts w:ascii="Cambria" w:hAnsi="Cambria"/>
          <w:color w:val="000000"/>
          <w:sz w:val="22"/>
          <w:szCs w:val="22"/>
          <w:u w:val="single"/>
        </w:rPr>
        <w:t xml:space="preserve">zatwierdzoną przez Prezesa URE taryfę na sprzedaż </w:t>
      </w:r>
      <w:r w:rsidR="0059029A" w:rsidRPr="005865FF">
        <w:rPr>
          <w:rFonts w:ascii="Cambria" w:hAnsi="Cambria"/>
          <w:color w:val="000000"/>
          <w:sz w:val="22"/>
          <w:szCs w:val="22"/>
          <w:u w:val="single"/>
        </w:rPr>
        <w:t>paliw gazowych</w:t>
      </w:r>
      <w:r w:rsidR="00AC733B" w:rsidRPr="0045125E">
        <w:rPr>
          <w:rFonts w:ascii="Cambria" w:hAnsi="Cambria"/>
          <w:color w:val="000000"/>
          <w:sz w:val="22"/>
          <w:szCs w:val="22"/>
        </w:rPr>
        <w:t>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2AFDC25C" w14:textId="27AAEE82" w:rsidR="00803586" w:rsidRPr="0045125E" w:rsidRDefault="007E7189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="00803586"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odbiorcy posiadający umowę z cenami opartymi na 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ofercie 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wolnorynkow</w:t>
      </w:r>
      <w:r w:rsidR="00535E8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ej</w:t>
      </w:r>
      <w:r w:rsidR="00AC733B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: </w:t>
      </w:r>
      <w:r w:rsidR="00A73BB2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to odbiorcy 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z grup taryfowych </w:t>
      </w:r>
      <w:r w:rsidR="0059029A" w:rsidRPr="0045125E">
        <w:rPr>
          <w:rFonts w:ascii="Cambria" w:hAnsi="Cambria"/>
          <w:color w:val="000000"/>
          <w:sz w:val="22"/>
          <w:szCs w:val="22"/>
        </w:rPr>
        <w:t>W 1-4</w:t>
      </w:r>
      <w:r w:rsidR="00AC733B" w:rsidRPr="0045125E">
        <w:rPr>
          <w:rFonts w:ascii="Cambria" w:hAnsi="Cambria"/>
          <w:color w:val="000000"/>
          <w:sz w:val="22"/>
          <w:szCs w:val="22"/>
        </w:rPr>
        <w:t xml:space="preserve">, korzystający </w:t>
      </w:r>
      <w:r w:rsidR="00A73BB2">
        <w:rPr>
          <w:rFonts w:ascii="Cambria" w:hAnsi="Cambria"/>
          <w:color w:val="000000"/>
          <w:sz w:val="22"/>
          <w:szCs w:val="22"/>
        </w:rPr>
        <w:t xml:space="preserve">z umowy opartej </w:t>
      </w:r>
      <w:r w:rsidR="00AC733B" w:rsidRPr="0045125E">
        <w:rPr>
          <w:rFonts w:ascii="Cambria" w:hAnsi="Cambria"/>
          <w:color w:val="000000"/>
          <w:sz w:val="22"/>
          <w:szCs w:val="22"/>
        </w:rPr>
        <w:t>o aktualną ofertę rynkową Sprzedawcy.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  <w:r w:rsidR="0045125E" w:rsidRPr="0045125E">
        <w:rPr>
          <w:rFonts w:ascii="Cambria" w:hAnsi="Cambria"/>
          <w:sz w:val="22"/>
          <w:szCs w:val="22"/>
        </w:rPr>
        <w:t xml:space="preserve">. </w:t>
      </w:r>
    </w:p>
    <w:p w14:paraId="582F09FB" w14:textId="28CD7A14" w:rsidR="00D0598D" w:rsidRDefault="00D0598D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</w:t>
      </w: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45125E"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strzymanie dostaw z tytułu zaległości w zapłacie należności za pobran</w:t>
      </w:r>
      <w:r w:rsidR="0059029A"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e paliwa gazowe </w:t>
      </w:r>
      <w:r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lub świadczone usługi dystrybucji </w:t>
      </w:r>
      <w:r w:rsidR="0059029A" w:rsidRPr="0045125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paliw gazowych</w:t>
      </w:r>
      <w:r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</w:t>
      </w:r>
      <w:r w:rsidR="0059029A"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wyłącznie ze względu na zaległości w zapłacie należności za </w:t>
      </w:r>
      <w:r w:rsidR="0059029A"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>pobrane paliwa gazowe</w:t>
      </w:r>
      <w:r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lub świadczone usługi dystrybucji.</w:t>
      </w:r>
      <w:r w:rsidR="0045125E" w:rsidRPr="0045125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1E61DD3D" w14:textId="77777777" w:rsidR="00A73BB2" w:rsidRPr="00D34BCE" w:rsidRDefault="00A73BB2" w:rsidP="00A73BB2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 xml:space="preserve">UWAGA: Zgodnie z art. 6b ust. 1 </w:t>
      </w:r>
      <w:proofErr w:type="spellStart"/>
      <w:r w:rsidRPr="00D34BCE">
        <w:rPr>
          <w:rFonts w:ascii="Cambria" w:hAnsi="Cambria"/>
          <w:sz w:val="22"/>
          <w:szCs w:val="22"/>
        </w:rPr>
        <w:t>uPe</w:t>
      </w:r>
      <w:proofErr w:type="spellEnd"/>
      <w:r w:rsidRPr="00D34BCE">
        <w:rPr>
          <w:rFonts w:ascii="Cambria" w:hAnsi="Cambria"/>
          <w:sz w:val="22"/>
          <w:szCs w:val="22"/>
        </w:rPr>
        <w:t xml:space="preserve"> „Przedsiębiorstwo energetyczne wykonujące działalność gospodarczą w zakresie przesyłania lub dystrybucji paliw gazowych może wstrzymać, z zastrzeżeniem art. 6c, dostarczanie paliw gazowych, jeżeli:</w:t>
      </w:r>
    </w:p>
    <w:p w14:paraId="2B713BD6" w14:textId="77777777" w:rsidR="00A73BB2" w:rsidRDefault="00A73BB2" w:rsidP="00A73BB2">
      <w:pPr>
        <w:pStyle w:val="Teksttreci1"/>
        <w:numPr>
          <w:ilvl w:val="0"/>
          <w:numId w:val="18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 xml:space="preserve">w wyniku przeprowadzonej kontroli stwierdzono, że nastąpiło nielegalne pobieranie paliw; </w:t>
      </w:r>
    </w:p>
    <w:p w14:paraId="32114FF1" w14:textId="77777777" w:rsidR="00A73BB2" w:rsidRDefault="00A73BB2" w:rsidP="00A73BB2">
      <w:pPr>
        <w:pStyle w:val="Teksttreci1"/>
        <w:numPr>
          <w:ilvl w:val="0"/>
          <w:numId w:val="18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odbiorca zwleka z zapłatą za świadczone usługi, co najmniej przez okres 30 dni po upływie terminu płatności.</w:t>
      </w:r>
    </w:p>
    <w:p w14:paraId="2463A947" w14:textId="4870F063" w:rsidR="00A73BB2" w:rsidRPr="0045125E" w:rsidRDefault="00A73BB2" w:rsidP="00A73BB2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>do wstrzymania dostaw</w:t>
      </w:r>
      <w:r>
        <w:rPr>
          <w:rFonts w:ascii="Cambria" w:hAnsi="Cambria"/>
          <w:sz w:val="22"/>
          <w:szCs w:val="22"/>
        </w:rPr>
        <w:t xml:space="preserve"> nie</w:t>
      </w:r>
      <w:r w:rsidRPr="00D34BCE">
        <w:rPr>
          <w:rFonts w:ascii="Cambria" w:hAnsi="Cambria"/>
          <w:sz w:val="22"/>
          <w:szCs w:val="22"/>
        </w:rPr>
        <w:t xml:space="preserve"> wliczają się przerwy z tytułu np. awarii sieci</w:t>
      </w:r>
      <w:r>
        <w:rPr>
          <w:rFonts w:ascii="Cambria" w:hAnsi="Cambria"/>
          <w:sz w:val="22"/>
          <w:szCs w:val="22"/>
        </w:rPr>
        <w:t>.</w:t>
      </w:r>
    </w:p>
    <w:p w14:paraId="29E24B2E" w14:textId="0836AD1C" w:rsidR="006B36E7" w:rsidRPr="0045125E" w:rsidRDefault="005A3A21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proofErr w:type="spellStart"/>
      <w:r w:rsidR="004E5E15" w:rsidRPr="0045125E">
        <w:rPr>
          <w:rFonts w:ascii="Cambria" w:hAnsi="Cambria"/>
          <w:i/>
          <w:iCs/>
          <w:sz w:val="22"/>
          <w:szCs w:val="22"/>
        </w:rPr>
        <w:t>internal</w:t>
      </w:r>
      <w:proofErr w:type="spellEnd"/>
      <w:r w:rsidR="004E5E15" w:rsidRPr="0045125E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4E5E15" w:rsidRPr="0045125E">
        <w:rPr>
          <w:rFonts w:ascii="Cambria" w:hAnsi="Cambria"/>
          <w:i/>
          <w:iCs/>
          <w:sz w:val="22"/>
          <w:szCs w:val="22"/>
        </w:rPr>
        <w:t>switching</w:t>
      </w:r>
      <w:proofErr w:type="spellEnd"/>
      <w:r w:rsidR="004E5E15" w:rsidRPr="0045125E">
        <w:rPr>
          <w:rFonts w:ascii="Cambria" w:hAnsi="Cambria"/>
          <w:sz w:val="22"/>
          <w:szCs w:val="22"/>
        </w:rPr>
        <w:t>:</w:t>
      </w:r>
      <w:r w:rsidR="006B36E7" w:rsidRPr="0045125E">
        <w:rPr>
          <w:rStyle w:val="Teksttreci"/>
          <w:rFonts w:ascii="Cambria" w:hAnsi="Cambria"/>
          <w:sz w:val="22"/>
          <w:szCs w:val="22"/>
        </w:rPr>
        <w:t xml:space="preserve"> przez </w:t>
      </w:r>
      <w:proofErr w:type="spellStart"/>
      <w:r w:rsidR="006B36E7" w:rsidRPr="0045125E">
        <w:rPr>
          <w:rStyle w:val="Teksttreci"/>
          <w:rFonts w:ascii="Cambria" w:hAnsi="Cambria"/>
          <w:i/>
          <w:iCs/>
          <w:sz w:val="22"/>
          <w:szCs w:val="22"/>
        </w:rPr>
        <w:t>internal</w:t>
      </w:r>
      <w:proofErr w:type="spellEnd"/>
      <w:r w:rsidR="006B36E7" w:rsidRPr="0045125E"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="006B36E7" w:rsidRPr="0045125E">
        <w:rPr>
          <w:rStyle w:val="Teksttreci"/>
          <w:rFonts w:ascii="Cambria" w:hAnsi="Cambria"/>
          <w:i/>
          <w:iCs/>
          <w:sz w:val="22"/>
          <w:szCs w:val="22"/>
        </w:rPr>
        <w:t>switching</w:t>
      </w:r>
      <w:proofErr w:type="spellEnd"/>
      <w:r w:rsidR="006B36E7" w:rsidRPr="0045125E">
        <w:rPr>
          <w:rStyle w:val="Teksttreci"/>
          <w:rFonts w:ascii="Cambria" w:hAnsi="Cambria"/>
          <w:sz w:val="22"/>
          <w:szCs w:val="22"/>
        </w:rPr>
        <w:t xml:space="preserve"> rozumie się zmianę produktu/umowy z tym samym sprzedawcą </w:t>
      </w:r>
      <w:r w:rsidR="003E56C7" w:rsidRPr="0045125E">
        <w:rPr>
          <w:rStyle w:val="Teksttreci"/>
          <w:rFonts w:ascii="Cambria" w:hAnsi="Cambria"/>
          <w:sz w:val="22"/>
          <w:szCs w:val="22"/>
        </w:rPr>
        <w:t>paliw gazowych</w:t>
      </w:r>
      <w:r w:rsidR="006B36E7" w:rsidRPr="0045125E">
        <w:rPr>
          <w:rStyle w:val="Teksttreci"/>
          <w:rFonts w:ascii="Cambria" w:hAnsi="Cambria"/>
          <w:sz w:val="22"/>
          <w:szCs w:val="22"/>
        </w:rPr>
        <w:t xml:space="preserve"> (renegocjacja/wybór innej oferty) – zgodnie z definicją CEER.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3448148F" w14:textId="4E8A4768" w:rsidR="004E5E15" w:rsidRPr="0045125E" w:rsidRDefault="006B36E7" w:rsidP="0045125E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proofErr w:type="spellStart"/>
      <w:r w:rsidRPr="0045125E">
        <w:rPr>
          <w:rStyle w:val="Teksttreci"/>
          <w:rFonts w:ascii="Cambria" w:hAnsi="Cambria"/>
          <w:sz w:val="22"/>
          <w:szCs w:val="22"/>
        </w:rPr>
        <w:t>Internal</w:t>
      </w:r>
      <w:proofErr w:type="spellEnd"/>
      <w:r w:rsidRPr="0045125E">
        <w:rPr>
          <w:rStyle w:val="Teksttreci"/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Style w:val="Teksttreci"/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Style w:val="Teksttreci"/>
          <w:rFonts w:ascii="Cambria" w:hAnsi="Cambria"/>
          <w:sz w:val="22"/>
          <w:szCs w:val="22"/>
        </w:rPr>
        <w:t xml:space="preserve"> stanowi:</w:t>
      </w:r>
    </w:p>
    <w:p w14:paraId="4C49771C" w14:textId="584CB5AB" w:rsidR="004E5E15" w:rsidRPr="0045125E" w:rsidRDefault="004E5E15" w:rsidP="0045125E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zmiana oferty na inną</w:t>
      </w:r>
    </w:p>
    <w:p w14:paraId="396B39C0" w14:textId="14A7FCD8" w:rsidR="004E5E15" w:rsidRPr="0045125E" w:rsidRDefault="004E5E15" w:rsidP="0045125E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zmiana z </w:t>
      </w:r>
      <w:r w:rsidR="00A73BB2">
        <w:rPr>
          <w:rFonts w:ascii="Cambria" w:hAnsi="Cambria"/>
          <w:sz w:val="22"/>
          <w:szCs w:val="22"/>
        </w:rPr>
        <w:t>umowy</w:t>
      </w:r>
      <w:r w:rsidRPr="0045125E">
        <w:rPr>
          <w:rFonts w:ascii="Cambria" w:hAnsi="Cambria"/>
          <w:sz w:val="22"/>
          <w:szCs w:val="22"/>
        </w:rPr>
        <w:t xml:space="preserve"> opartej na cenach regulowanych na </w:t>
      </w:r>
      <w:r w:rsidR="00A73BB2">
        <w:rPr>
          <w:rFonts w:ascii="Cambria" w:hAnsi="Cambria"/>
          <w:sz w:val="22"/>
          <w:szCs w:val="22"/>
        </w:rPr>
        <w:t xml:space="preserve">umowę </w:t>
      </w:r>
      <w:r w:rsidRPr="0045125E">
        <w:rPr>
          <w:rFonts w:ascii="Cambria" w:hAnsi="Cambria"/>
          <w:sz w:val="22"/>
          <w:szCs w:val="22"/>
        </w:rPr>
        <w:t>opartą na cenach wolnorynkowych (i odwrotnie)</w:t>
      </w:r>
    </w:p>
    <w:p w14:paraId="619346A7" w14:textId="1EF28107" w:rsidR="004E5E15" w:rsidRPr="0045125E" w:rsidRDefault="004E5E15" w:rsidP="0045125E">
      <w:pPr>
        <w:pStyle w:val="Teksttreci1"/>
        <w:numPr>
          <w:ilvl w:val="1"/>
          <w:numId w:val="15"/>
        </w:numPr>
        <w:spacing w:before="0" w:line="276" w:lineRule="auto"/>
        <w:ind w:left="284" w:hanging="357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renegocjacja warunków umowy (innych niż metody płatności) np. zmiana ceny, dodatkowego produktu, benefitów dla odbiorcy </w:t>
      </w:r>
    </w:p>
    <w:p w14:paraId="6A0A4E94" w14:textId="32219CD4" w:rsidR="004E5E15" w:rsidRPr="0045125E" w:rsidRDefault="006B36E7" w:rsidP="0045125E">
      <w:pPr>
        <w:pStyle w:val="Teksttreci1"/>
        <w:numPr>
          <w:ilvl w:val="1"/>
          <w:numId w:val="15"/>
        </w:numPr>
        <w:spacing w:before="0" w:line="276" w:lineRule="auto"/>
        <w:ind w:left="357" w:hanging="357"/>
        <w:jc w:val="both"/>
        <w:rPr>
          <w:rFonts w:ascii="Cambria" w:hAnsi="Cambria"/>
          <w:sz w:val="22"/>
          <w:szCs w:val="22"/>
        </w:rPr>
      </w:pPr>
      <w:proofErr w:type="spell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 xml:space="preserve"> jest świadomym wyborem</w:t>
      </w:r>
      <w:r w:rsidR="004E5E15" w:rsidRPr="0045125E">
        <w:rPr>
          <w:rFonts w:ascii="Cambria" w:hAnsi="Cambria"/>
          <w:sz w:val="22"/>
          <w:szCs w:val="22"/>
        </w:rPr>
        <w:t xml:space="preserve"> odbiorcy</w:t>
      </w:r>
    </w:p>
    <w:p w14:paraId="0FE278D2" w14:textId="77777777" w:rsidR="00A267A7" w:rsidRPr="0045125E" w:rsidRDefault="00A267A7" w:rsidP="0045125E">
      <w:pPr>
        <w:pStyle w:val="Teksttreci1"/>
        <w:spacing w:before="0" w:line="276" w:lineRule="auto"/>
        <w:ind w:left="426" w:hanging="66"/>
        <w:jc w:val="both"/>
        <w:rPr>
          <w:rFonts w:ascii="Cambria" w:hAnsi="Cambria"/>
          <w:sz w:val="22"/>
          <w:szCs w:val="22"/>
        </w:rPr>
      </w:pPr>
    </w:p>
    <w:p w14:paraId="610A944E" w14:textId="3A8B5FAE" w:rsidR="00DE0DA7" w:rsidRPr="0045125E" w:rsidRDefault="00DE0DA7" w:rsidP="0045125E">
      <w:pPr>
        <w:pStyle w:val="Teksttreci1"/>
        <w:spacing w:before="0" w:line="276" w:lineRule="auto"/>
        <w:ind w:left="426" w:hanging="66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Nie stanowi </w:t>
      </w:r>
      <w:proofErr w:type="spell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>:</w:t>
      </w:r>
    </w:p>
    <w:p w14:paraId="646A60AA" w14:textId="77777777" w:rsidR="00556672" w:rsidRDefault="00DE0DA7" w:rsidP="00556672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 xml:space="preserve">automatyczne przedłużenie terminu obowiązywania umowy i zmiany w umowach dotyczących wyłącznie: metod płatności czy sposobów doręczania rozliczeń. </w:t>
      </w:r>
    </w:p>
    <w:p w14:paraId="3BF249DE" w14:textId="4DB693D3" w:rsidR="00556672" w:rsidRPr="00556672" w:rsidRDefault="00556672" w:rsidP="00556672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556672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BD453A">
        <w:rPr>
          <w:rFonts w:ascii="Cambria" w:hAnsi="Cambria"/>
          <w:iCs/>
          <w:color w:val="000000"/>
          <w:sz w:val="22"/>
          <w:szCs w:val="22"/>
        </w:rPr>
        <w:t>n</w:t>
      </w:r>
      <w:r w:rsidRPr="00556672">
        <w:rPr>
          <w:rFonts w:ascii="Cambria" w:hAnsi="Cambria"/>
          <w:iCs/>
          <w:color w:val="000000"/>
          <w:sz w:val="22"/>
          <w:szCs w:val="22"/>
        </w:rPr>
        <w:t xml:space="preserve">ie dochodzi do zmiany </w:t>
      </w:r>
      <w:r>
        <w:rPr>
          <w:rFonts w:ascii="Cambria" w:hAnsi="Cambria"/>
          <w:iCs/>
          <w:color w:val="000000"/>
          <w:sz w:val="22"/>
          <w:szCs w:val="22"/>
        </w:rPr>
        <w:t>„</w:t>
      </w:r>
      <w:proofErr w:type="spellStart"/>
      <w:r>
        <w:rPr>
          <w:rFonts w:ascii="Cambria" w:hAnsi="Cambria"/>
          <w:iCs/>
          <w:color w:val="000000"/>
          <w:sz w:val="22"/>
          <w:szCs w:val="22"/>
        </w:rPr>
        <w:t>internal</w:t>
      </w:r>
      <w:proofErr w:type="spellEnd"/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iCs/>
          <w:color w:val="000000"/>
          <w:sz w:val="22"/>
          <w:szCs w:val="22"/>
        </w:rPr>
        <w:t>switching</w:t>
      </w:r>
      <w:proofErr w:type="spellEnd"/>
      <w:r>
        <w:rPr>
          <w:rFonts w:ascii="Cambria" w:hAnsi="Cambria"/>
          <w:iCs/>
          <w:color w:val="000000"/>
          <w:sz w:val="22"/>
          <w:szCs w:val="22"/>
        </w:rPr>
        <w:t>”</w:t>
      </w:r>
      <w:r w:rsidRPr="00556672">
        <w:rPr>
          <w:rFonts w:ascii="Cambria" w:hAnsi="Cambria"/>
          <w:iCs/>
          <w:color w:val="000000"/>
          <w:sz w:val="22"/>
          <w:szCs w:val="22"/>
        </w:rPr>
        <w:t>, gdy odbiorca dokonał tylko rozdziału umowy kompleksowej</w:t>
      </w:r>
    </w:p>
    <w:p w14:paraId="3A03E18B" w14:textId="77777777" w:rsidR="00DE0DA7" w:rsidRPr="0045125E" w:rsidRDefault="00DE0DA7" w:rsidP="0045125E">
      <w:pPr>
        <w:pStyle w:val="Teksttreci1"/>
        <w:numPr>
          <w:ilvl w:val="0"/>
          <w:numId w:val="17"/>
        </w:numPr>
        <w:spacing w:before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lastRenderedPageBreak/>
        <w:t>gdy odbiorca dokonał tylko rozdziału umowy kompleksowej</w:t>
      </w:r>
    </w:p>
    <w:p w14:paraId="3F241621" w14:textId="18DD665F" w:rsidR="004E5E15" w:rsidRPr="0045125E" w:rsidRDefault="004E5E15" w:rsidP="0045125E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p w14:paraId="00AD020A" w14:textId="303066BA" w:rsidR="00AF2159" w:rsidRPr="0045125E" w:rsidRDefault="00AF2159" w:rsidP="0045125E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sz w:val="22"/>
          <w:szCs w:val="22"/>
        </w:rPr>
        <w:t>Należy podać liczbę odbiorców/PP</w:t>
      </w:r>
      <w:r w:rsidR="003E56C7" w:rsidRPr="0045125E">
        <w:rPr>
          <w:rFonts w:ascii="Cambria" w:hAnsi="Cambria"/>
          <w:sz w:val="22"/>
          <w:szCs w:val="22"/>
        </w:rPr>
        <w:t>G</w:t>
      </w:r>
      <w:r w:rsidRPr="0045125E">
        <w:rPr>
          <w:rFonts w:ascii="Cambria" w:hAnsi="Cambria"/>
          <w:sz w:val="22"/>
          <w:szCs w:val="22"/>
        </w:rPr>
        <w:t>, którzy dokonali zmiany umowy na sprzedaż energii elektrycznej/umowy kompleksowej w ramach „</w:t>
      </w:r>
      <w:proofErr w:type="spellStart"/>
      <w:r w:rsidRPr="0045125E">
        <w:rPr>
          <w:rFonts w:ascii="Cambria" w:hAnsi="Cambria"/>
          <w:sz w:val="22"/>
          <w:szCs w:val="22"/>
        </w:rPr>
        <w:t>internal</w:t>
      </w:r>
      <w:proofErr w:type="spellEnd"/>
      <w:r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Pr="0045125E">
        <w:rPr>
          <w:rFonts w:ascii="Cambria" w:hAnsi="Cambria"/>
          <w:sz w:val="22"/>
          <w:szCs w:val="22"/>
        </w:rPr>
        <w:t>switching</w:t>
      </w:r>
      <w:proofErr w:type="spellEnd"/>
      <w:r w:rsidRPr="0045125E">
        <w:rPr>
          <w:rFonts w:ascii="Cambria" w:hAnsi="Cambria"/>
          <w:sz w:val="22"/>
          <w:szCs w:val="22"/>
        </w:rPr>
        <w:t xml:space="preserve"> "</w:t>
      </w:r>
      <w:r w:rsidR="00B470F5" w:rsidRPr="0045125E">
        <w:rPr>
          <w:rFonts w:ascii="Cambria" w:hAnsi="Cambria"/>
          <w:sz w:val="22"/>
          <w:szCs w:val="22"/>
        </w:rPr>
        <w:t xml:space="preserve"> (w przypadku jeśli odbiorca/PP</w:t>
      </w:r>
      <w:r w:rsidR="003E56C7" w:rsidRPr="0045125E">
        <w:rPr>
          <w:rFonts w:ascii="Cambria" w:hAnsi="Cambria"/>
          <w:sz w:val="22"/>
          <w:szCs w:val="22"/>
        </w:rPr>
        <w:t>G</w:t>
      </w:r>
      <w:r w:rsidR="00B470F5" w:rsidRPr="0045125E">
        <w:rPr>
          <w:rFonts w:ascii="Cambria" w:hAnsi="Cambria"/>
          <w:sz w:val="22"/>
          <w:szCs w:val="22"/>
        </w:rPr>
        <w:t xml:space="preserve"> zmienił umowę w ramach </w:t>
      </w:r>
      <w:proofErr w:type="spellStart"/>
      <w:r w:rsidR="00B470F5" w:rsidRPr="0045125E">
        <w:rPr>
          <w:rFonts w:ascii="Cambria" w:hAnsi="Cambria"/>
          <w:sz w:val="22"/>
          <w:szCs w:val="22"/>
        </w:rPr>
        <w:t>internal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="00B470F5" w:rsidRPr="0045125E">
        <w:rPr>
          <w:rFonts w:ascii="Cambria" w:hAnsi="Cambria"/>
          <w:sz w:val="22"/>
          <w:szCs w:val="22"/>
        </w:rPr>
        <w:t>switching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</w:t>
      </w:r>
      <w:r w:rsidR="00A73BB2">
        <w:rPr>
          <w:rFonts w:ascii="Cambria" w:hAnsi="Cambria"/>
          <w:sz w:val="22"/>
          <w:szCs w:val="22"/>
        </w:rPr>
        <w:t>np. dwukrotnie</w:t>
      </w:r>
      <w:r w:rsidR="00B470F5" w:rsidRPr="0045125E">
        <w:rPr>
          <w:rFonts w:ascii="Cambria" w:hAnsi="Cambria"/>
          <w:sz w:val="22"/>
          <w:szCs w:val="22"/>
        </w:rPr>
        <w:t xml:space="preserve"> w okresie sprawozdawczym liczymy </w:t>
      </w:r>
      <w:r w:rsidR="00A73BB2">
        <w:rPr>
          <w:rFonts w:ascii="Cambria" w:hAnsi="Cambria"/>
          <w:sz w:val="22"/>
          <w:szCs w:val="22"/>
        </w:rPr>
        <w:t>dwa razy</w:t>
      </w:r>
      <w:r w:rsidR="00B470F5" w:rsidRPr="0045125E">
        <w:rPr>
          <w:rFonts w:ascii="Cambria" w:hAnsi="Cambria"/>
          <w:sz w:val="22"/>
          <w:szCs w:val="22"/>
        </w:rPr>
        <w:t>)</w:t>
      </w:r>
      <w:r w:rsidRPr="0045125E">
        <w:rPr>
          <w:rFonts w:ascii="Cambria" w:hAnsi="Cambria"/>
          <w:sz w:val="22"/>
          <w:szCs w:val="22"/>
        </w:rPr>
        <w:t xml:space="preserve"> oraz sprzedany wolumen </w:t>
      </w:r>
      <w:r w:rsidR="003E56C7" w:rsidRPr="0045125E">
        <w:rPr>
          <w:rFonts w:ascii="Cambria" w:hAnsi="Cambria"/>
          <w:sz w:val="22"/>
          <w:szCs w:val="22"/>
        </w:rPr>
        <w:t>paliw gazowych</w:t>
      </w:r>
      <w:r w:rsidRPr="0045125E">
        <w:rPr>
          <w:rFonts w:ascii="Cambria" w:hAnsi="Cambria"/>
          <w:sz w:val="22"/>
          <w:szCs w:val="22"/>
        </w:rPr>
        <w:t xml:space="preserve"> tych odbiorców w okresie sprawozdawczym (liczony od momentu </w:t>
      </w:r>
      <w:r w:rsidR="00B470F5" w:rsidRPr="0045125E">
        <w:rPr>
          <w:rFonts w:ascii="Cambria" w:hAnsi="Cambria"/>
          <w:sz w:val="22"/>
          <w:szCs w:val="22"/>
        </w:rPr>
        <w:t>zmiany umowy</w:t>
      </w:r>
      <w:r w:rsidRPr="0045125E">
        <w:rPr>
          <w:rFonts w:ascii="Cambria" w:hAnsi="Cambria"/>
          <w:sz w:val="22"/>
          <w:szCs w:val="22"/>
        </w:rPr>
        <w:t xml:space="preserve"> do końca okresu sprawozdawczego </w:t>
      </w:r>
      <w:r w:rsidR="00B470F5" w:rsidRPr="0045125E">
        <w:rPr>
          <w:rFonts w:ascii="Cambria" w:hAnsi="Cambria"/>
          <w:sz w:val="22"/>
          <w:szCs w:val="22"/>
        </w:rPr>
        <w:t xml:space="preserve">– w przypadku jeśli odbiorca dokonał w okresie sprawozdawczym dwu lub kilkukrotnie zmiany umowy w ramach </w:t>
      </w:r>
      <w:proofErr w:type="spellStart"/>
      <w:r w:rsidR="00B470F5" w:rsidRPr="0045125E">
        <w:rPr>
          <w:rFonts w:ascii="Cambria" w:hAnsi="Cambria"/>
          <w:sz w:val="22"/>
          <w:szCs w:val="22"/>
        </w:rPr>
        <w:t>internal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</w:t>
      </w:r>
      <w:proofErr w:type="spellStart"/>
      <w:r w:rsidR="00B470F5" w:rsidRPr="0045125E">
        <w:rPr>
          <w:rFonts w:ascii="Cambria" w:hAnsi="Cambria"/>
          <w:sz w:val="22"/>
          <w:szCs w:val="22"/>
        </w:rPr>
        <w:t>switching</w:t>
      </w:r>
      <w:proofErr w:type="spellEnd"/>
      <w:r w:rsidR="00B470F5" w:rsidRPr="0045125E">
        <w:rPr>
          <w:rFonts w:ascii="Cambria" w:hAnsi="Cambria"/>
          <w:sz w:val="22"/>
          <w:szCs w:val="22"/>
        </w:rPr>
        <w:t xml:space="preserve"> wolumen sprzedaży </w:t>
      </w:r>
      <w:r w:rsidR="003E56C7" w:rsidRPr="0045125E">
        <w:rPr>
          <w:rFonts w:ascii="Cambria" w:hAnsi="Cambria"/>
          <w:sz w:val="22"/>
          <w:szCs w:val="22"/>
        </w:rPr>
        <w:t>paliw gazowych</w:t>
      </w:r>
      <w:r w:rsidR="00B470F5" w:rsidRPr="0045125E">
        <w:rPr>
          <w:rFonts w:ascii="Cambria" w:hAnsi="Cambria"/>
          <w:sz w:val="22"/>
          <w:szCs w:val="22"/>
        </w:rPr>
        <w:t xml:space="preserve"> od momentu pierwszej zmiany do końca okresu sprawozdawczego).</w:t>
      </w:r>
    </w:p>
    <w:p w14:paraId="3499ADEF" w14:textId="2D60B13B" w:rsidR="00862674" w:rsidRPr="002F2D13" w:rsidRDefault="00862674" w:rsidP="00862674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 sprzedaż rezerwowa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(art. 5aa i 5ab </w:t>
      </w:r>
      <w:proofErr w:type="spellStart"/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uPe</w:t>
      </w:r>
      <w:proofErr w:type="spellEnd"/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)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</w:t>
      </w:r>
      <w:r>
        <w:rPr>
          <w:rFonts w:ascii="Cambria" w:hAnsi="Cambria"/>
          <w:sz w:val="22"/>
          <w:szCs w:val="22"/>
        </w:rPr>
        <w:t>G</w:t>
      </w:r>
      <w:r w:rsidRPr="00F5011F">
        <w:rPr>
          <w:rFonts w:ascii="Cambria" w:hAnsi="Cambria"/>
          <w:sz w:val="22"/>
          <w:szCs w:val="22"/>
        </w:rPr>
        <w:t xml:space="preserve">, dla których operatorzy systemów dystrybucyjnych w celu zachowania ciągłości dostaw </w:t>
      </w:r>
      <w:r>
        <w:rPr>
          <w:rFonts w:ascii="Cambria" w:hAnsi="Cambria"/>
          <w:sz w:val="22"/>
          <w:szCs w:val="22"/>
        </w:rPr>
        <w:t>paliw gazowych</w:t>
      </w:r>
      <w:r w:rsidRPr="00F5011F">
        <w:rPr>
          <w:rFonts w:ascii="Cambria" w:hAnsi="Cambria"/>
          <w:sz w:val="22"/>
          <w:szCs w:val="22"/>
        </w:rPr>
        <w:t xml:space="preserve"> w okresie sprawozdawczym uruchomili </w:t>
      </w:r>
      <w:r w:rsidRPr="003B74B3">
        <w:rPr>
          <w:rFonts w:ascii="Cambria" w:hAnsi="Cambria"/>
          <w:b/>
          <w:sz w:val="22"/>
          <w:szCs w:val="22"/>
        </w:rPr>
        <w:t xml:space="preserve">sprzedaż rezerwową (art. 5aa </w:t>
      </w:r>
      <w:proofErr w:type="spellStart"/>
      <w:r>
        <w:rPr>
          <w:rFonts w:ascii="Cambria" w:hAnsi="Cambria"/>
          <w:b/>
          <w:sz w:val="22"/>
          <w:szCs w:val="22"/>
        </w:rPr>
        <w:t>uPe</w:t>
      </w:r>
      <w:proofErr w:type="spellEnd"/>
      <w:r w:rsidRPr="003B74B3">
        <w:rPr>
          <w:rFonts w:ascii="Cambria" w:hAnsi="Cambria"/>
          <w:b/>
          <w:sz w:val="22"/>
          <w:szCs w:val="22"/>
        </w:rPr>
        <w:t>) lub sprzedaż z urzędu (5ab</w:t>
      </w:r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uPe</w:t>
      </w:r>
      <w:proofErr w:type="spellEnd"/>
      <w:r w:rsidRPr="003B74B3">
        <w:rPr>
          <w:rFonts w:ascii="Cambria" w:hAnsi="Cambria"/>
          <w:b/>
          <w:sz w:val="22"/>
          <w:szCs w:val="22"/>
        </w:rPr>
        <w:t>)</w:t>
      </w:r>
      <w:r w:rsidRPr="00F5011F">
        <w:rPr>
          <w:rFonts w:ascii="Cambria" w:hAnsi="Cambria"/>
          <w:sz w:val="22"/>
          <w:szCs w:val="22"/>
        </w:rPr>
        <w:t xml:space="preserve"> </w:t>
      </w:r>
      <w:r w:rsidR="00887FF6">
        <w:rPr>
          <w:rFonts w:ascii="Cambria" w:hAnsi="Cambria"/>
          <w:sz w:val="22"/>
          <w:szCs w:val="22"/>
        </w:rPr>
        <w:t xml:space="preserve"> „</w:t>
      </w:r>
      <w:r w:rsidRPr="00F5011F">
        <w:rPr>
          <w:rFonts w:ascii="Cambria" w:hAnsi="Cambria"/>
          <w:sz w:val="22"/>
          <w:szCs w:val="22"/>
        </w:rPr>
        <w:t xml:space="preserve">w przypadku zaprzestania dostarczania </w:t>
      </w:r>
      <w:r>
        <w:rPr>
          <w:rFonts w:ascii="Cambria" w:hAnsi="Cambria"/>
          <w:sz w:val="22"/>
          <w:szCs w:val="22"/>
        </w:rPr>
        <w:t>paliw gazowych</w:t>
      </w:r>
      <w:r w:rsidRPr="00F5011F">
        <w:rPr>
          <w:rFonts w:ascii="Cambria" w:hAnsi="Cambria"/>
          <w:sz w:val="22"/>
          <w:szCs w:val="22"/>
        </w:rPr>
        <w:t xml:space="preserve"> przez wybranego przez odbiorcę sprzedawcę" </w:t>
      </w:r>
      <w:r w:rsidRPr="00862674">
        <w:rPr>
          <w:rFonts w:ascii="Cambria" w:hAnsi="Cambria"/>
          <w:sz w:val="22"/>
          <w:szCs w:val="22"/>
        </w:rPr>
        <w:t>oraz sprzedany wolumen paliw gazowych w ramach sprzedaży rezerwowej w okresie sprawozdawczym (liczony od momentu rozpoczęcia sprzedaży rezerwowej do końca okresu sprawozdawczego lub do momentu rozpoczęcia sprzedaży na umowie kompleksowej/sprzedaży)</w:t>
      </w:r>
      <w:r w:rsidR="002F2D13" w:rsidRPr="002F2D13">
        <w:rPr>
          <w:rFonts w:ascii="Cambria" w:hAnsi="Cambria"/>
          <w:sz w:val="22"/>
          <w:szCs w:val="22"/>
        </w:rPr>
        <w:t xml:space="preserve"> </w:t>
      </w:r>
      <w:r w:rsidR="002F2D13" w:rsidRPr="002F2D13">
        <w:rPr>
          <w:rFonts w:ascii="Cambria" w:hAnsi="Cambria"/>
          <w:sz w:val="22"/>
          <w:szCs w:val="22"/>
        </w:rPr>
        <w:t xml:space="preserve">– dana dotyczy odbiorców dla których przedsiębiorstwo sprawozdające świadczyło w okresie sprawozdawczym sprzedaż rezerwową (art. 5aa i art. 5ab </w:t>
      </w:r>
      <w:proofErr w:type="spellStart"/>
      <w:r w:rsidR="002F2D13" w:rsidRPr="002F2D13">
        <w:rPr>
          <w:rFonts w:ascii="Cambria" w:hAnsi="Cambria"/>
          <w:sz w:val="22"/>
          <w:szCs w:val="22"/>
        </w:rPr>
        <w:t>uPe</w:t>
      </w:r>
      <w:proofErr w:type="spellEnd"/>
      <w:r w:rsidR="002F2D13" w:rsidRPr="002F2D13">
        <w:rPr>
          <w:rFonts w:ascii="Cambria" w:hAnsi="Cambria"/>
          <w:sz w:val="22"/>
          <w:szCs w:val="22"/>
        </w:rPr>
        <w:t>).</w:t>
      </w:r>
      <w:r>
        <w:rPr>
          <w:rFonts w:ascii="Cambria" w:hAnsi="Cambria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40B9DCE5" w14:textId="5AE2451C" w:rsidR="00AE7FE6" w:rsidRDefault="00AE7FE6" w:rsidP="00AE7FE6">
      <w:pPr>
        <w:pStyle w:val="Teksttreci1"/>
        <w:shd w:val="clear" w:color="auto" w:fill="auto"/>
        <w:spacing w:before="0" w:after="120" w:line="360" w:lineRule="auto"/>
        <w:ind w:left="426" w:firstLine="0"/>
        <w:jc w:val="both"/>
        <w:rPr>
          <w:rFonts w:ascii="Cambria" w:hAnsi="Cambria"/>
          <w:sz w:val="22"/>
          <w:szCs w:val="22"/>
        </w:rPr>
      </w:pPr>
      <w:bookmarkStart w:id="0" w:name="_Hlk92889705"/>
      <w:r>
        <w:rPr>
          <w:rFonts w:ascii="Cambria" w:hAnsi="Cambria"/>
          <w:color w:val="000000"/>
          <w:sz w:val="22"/>
          <w:szCs w:val="22"/>
        </w:rPr>
        <w:t>Uwaga: średnia kwartalna cena płacona w ramach sprzedaży rezerwowej przez odbiorcę końcowego: należy podać odpowiednio średnią cenę netto z IV kwartału 2021 r. i IV kwartału 2020 płaconą przez odbiorcę końcowego w ramach sprzedaży rezerwowej (tzw. cena ostateczna na rachunku)</w:t>
      </w:r>
    </w:p>
    <w:bookmarkEnd w:id="0"/>
    <w:p w14:paraId="4754E009" w14:textId="7B690C95" w:rsidR="00F74C72" w:rsidRPr="0045125E" w:rsidRDefault="00A267A7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sprzedaż </w:t>
      </w:r>
      <w:r w:rsidR="00F74C72"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z urzędu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45125E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45125E">
        <w:rPr>
          <w:rFonts w:ascii="Cambria" w:hAnsi="Cambria"/>
          <w:sz w:val="22"/>
          <w:szCs w:val="22"/>
        </w:rPr>
        <w:t xml:space="preserve"> odbiorców/PP</w:t>
      </w:r>
      <w:r w:rsidR="006F6A79" w:rsidRPr="0045125E">
        <w:rPr>
          <w:rFonts w:ascii="Cambria" w:hAnsi="Cambria"/>
          <w:sz w:val="22"/>
          <w:szCs w:val="22"/>
        </w:rPr>
        <w:t>G</w:t>
      </w:r>
      <w:r w:rsidRPr="0045125E">
        <w:rPr>
          <w:rFonts w:ascii="Cambria" w:hAnsi="Cambria"/>
          <w:sz w:val="22"/>
          <w:szCs w:val="22"/>
        </w:rPr>
        <w:t>, dla których przedsiębiorstwo energetyczne posiadające koncesję na obrót paliwami gazowymi, świadczące usługi kompleksowe odbiorcom paliw gazowych w gospodarstwie domowym, niekorzystającym z prawa wyboru sprzedawcy</w:t>
      </w:r>
      <w:r w:rsidR="00F74C72" w:rsidRPr="0045125E">
        <w:rPr>
          <w:rFonts w:ascii="Cambria" w:hAnsi="Cambria"/>
          <w:sz w:val="22"/>
          <w:szCs w:val="22"/>
        </w:rPr>
        <w:t xml:space="preserve"> oraz sprzedany wolumen </w:t>
      </w:r>
      <w:r w:rsidR="006F6A79" w:rsidRPr="0045125E">
        <w:rPr>
          <w:rFonts w:ascii="Cambria" w:hAnsi="Cambria"/>
          <w:sz w:val="22"/>
          <w:szCs w:val="22"/>
        </w:rPr>
        <w:t>paliw gazowych</w:t>
      </w:r>
      <w:r w:rsidR="00F74C72" w:rsidRPr="0045125E">
        <w:rPr>
          <w:rFonts w:ascii="Cambria" w:hAnsi="Cambria"/>
          <w:sz w:val="22"/>
          <w:szCs w:val="22"/>
        </w:rPr>
        <w:t xml:space="preserve"> w ramach sprzedaży z urzędu w okresie sprawozdawczym (liczony od momentu rozpoczęcia sprzedaży z urzędu do końca okresu sprawozdawczego lub do momentu rozpoczęcia sprzedaży na umowie kompleksowej/sprzedaży z innym sprzedawcą; dla odbiorcy, który przez cały rok sprawozdawczy kupuje </w:t>
      </w:r>
      <w:r w:rsidR="006F6A79" w:rsidRPr="0045125E">
        <w:rPr>
          <w:rFonts w:ascii="Cambria" w:hAnsi="Cambria"/>
          <w:sz w:val="22"/>
          <w:szCs w:val="22"/>
        </w:rPr>
        <w:t>paliwa gazowe</w:t>
      </w:r>
      <w:r w:rsidR="00F74C72" w:rsidRPr="0045125E">
        <w:rPr>
          <w:rFonts w:ascii="Cambria" w:hAnsi="Cambria"/>
          <w:sz w:val="22"/>
          <w:szCs w:val="22"/>
        </w:rPr>
        <w:t xml:space="preserve"> w ramach sprzedaży </w:t>
      </w:r>
      <w:r w:rsidR="00F77981">
        <w:rPr>
          <w:rFonts w:ascii="Cambria" w:hAnsi="Cambria"/>
          <w:sz w:val="22"/>
          <w:szCs w:val="22"/>
        </w:rPr>
        <w:t>z urzędu</w:t>
      </w:r>
      <w:r w:rsidR="00F74C72" w:rsidRPr="0045125E">
        <w:rPr>
          <w:rFonts w:ascii="Cambria" w:hAnsi="Cambria"/>
          <w:sz w:val="22"/>
          <w:szCs w:val="22"/>
        </w:rPr>
        <w:t xml:space="preserve"> liczymy wolumen z całego roku).</w:t>
      </w:r>
      <w:r w:rsidR="0045125E" w:rsidRPr="0045125E">
        <w:rPr>
          <w:rFonts w:ascii="Cambria" w:hAnsi="Cambria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0DD7B959" w14:textId="1AAC966D" w:rsidR="00A267A7" w:rsidRPr="0045125E" w:rsidRDefault="006D42E1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średni czas trwania procesu wstrzymania dostaw ze względu na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lastRenderedPageBreak/>
        <w:t xml:space="preserve">brak płatności - </w:t>
      </w:r>
      <w:r w:rsidRPr="0045125E">
        <w:rPr>
          <w:rFonts w:ascii="Cambria" w:hAnsi="Cambria"/>
          <w:color w:val="000000"/>
          <w:sz w:val="22"/>
          <w:szCs w:val="22"/>
        </w:rPr>
        <w:t>należy podać średnią ilość dni roboczych (z okresu od 01.01.2021r. do 31.12.2021 r.) liczonych od momentu przekazania odbiorcy przez sprzedawcę informacji o zaleganiu w płatności do momentu wstrzymania dostaw przez OSD.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6BDEB69C" w14:textId="09D2D9D8" w:rsidR="00BD453A" w:rsidRDefault="006D42E1" w:rsidP="00BD453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45125E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średni czas trwania procesu ostatecznego rozliczenia z odbiorcami w gospodarstwach domowych, którzy skorzystali z prawa zmiany sprzedawcy – </w:t>
      </w:r>
      <w:r w:rsidRPr="0045125E">
        <w:rPr>
          <w:rFonts w:ascii="Cambria" w:hAnsi="Cambria"/>
          <w:color w:val="000000"/>
          <w:sz w:val="22"/>
          <w:szCs w:val="22"/>
        </w:rPr>
        <w:t xml:space="preserve">należy podać średni czas (z okresu od 01.01.2021r. do 31.12.2021 r.)  od momentu zakończenia umowy sprzedaży </w:t>
      </w:r>
      <w:r w:rsidR="006F6A79" w:rsidRPr="0045125E">
        <w:rPr>
          <w:rFonts w:ascii="Cambria" w:hAnsi="Cambria"/>
          <w:color w:val="000000"/>
          <w:sz w:val="22"/>
          <w:szCs w:val="22"/>
        </w:rPr>
        <w:t>paliw gazowych</w:t>
      </w:r>
      <w:r w:rsidRPr="0045125E">
        <w:rPr>
          <w:rFonts w:ascii="Cambria" w:hAnsi="Cambria"/>
          <w:color w:val="000000"/>
          <w:sz w:val="22"/>
          <w:szCs w:val="22"/>
        </w:rPr>
        <w:t xml:space="preserve"> z dotychczasowym sprzedawcą do momentu ostatecznego rozliczenia odbiorcy (</w:t>
      </w:r>
      <w:r w:rsidRPr="0045125E">
        <w:rPr>
          <w:rFonts w:ascii="Cambria" w:hAnsi="Cambria"/>
          <w:color w:val="000000"/>
          <w:sz w:val="22"/>
          <w:szCs w:val="22"/>
          <w:u w:val="single"/>
        </w:rPr>
        <w:t>w tygodniach</w:t>
      </w:r>
      <w:r w:rsidRPr="0045125E">
        <w:rPr>
          <w:rFonts w:ascii="Cambria" w:hAnsi="Cambria"/>
          <w:color w:val="000000"/>
          <w:sz w:val="22"/>
          <w:szCs w:val="22"/>
        </w:rPr>
        <w:t>)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. </w:t>
      </w:r>
      <w:r w:rsidR="008A37C4" w:rsidRPr="00623DDA">
        <w:rPr>
          <w:rFonts w:ascii="Cambria" w:hAnsi="Cambria"/>
          <w:color w:val="000000"/>
          <w:sz w:val="22"/>
          <w:szCs w:val="22"/>
        </w:rPr>
        <w:t>Uwaga: dotyczy gazu wysokometanowego i zaazotowanego.</w:t>
      </w:r>
    </w:p>
    <w:p w14:paraId="490E876F" w14:textId="5A106FD0" w:rsidR="00ED083D" w:rsidRPr="00BD453A" w:rsidRDefault="006D42E1" w:rsidP="00BD453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BD453A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BD453A">
        <w:rPr>
          <w:rFonts w:ascii="Cambria" w:hAnsi="Cambria"/>
          <w:i/>
          <w:iCs/>
          <w:color w:val="000000"/>
          <w:sz w:val="22"/>
          <w:szCs w:val="22"/>
        </w:rPr>
        <w:t xml:space="preserve">Umowy – </w:t>
      </w:r>
      <w:r w:rsidRPr="00BD453A">
        <w:rPr>
          <w:rFonts w:ascii="Cambria" w:hAnsi="Cambria"/>
          <w:color w:val="000000"/>
          <w:sz w:val="22"/>
          <w:szCs w:val="22"/>
        </w:rPr>
        <w:t>należy podać liczbę odbiorców, korzystających z danego typu umowy – stan na dzień 31.12.2021 r.</w:t>
      </w:r>
      <w:r w:rsidR="0045125E" w:rsidRPr="00BD453A">
        <w:rPr>
          <w:rFonts w:ascii="Cambria" w:hAnsi="Cambria"/>
          <w:color w:val="000000"/>
          <w:sz w:val="22"/>
          <w:szCs w:val="22"/>
        </w:rPr>
        <w:t xml:space="preserve"> </w:t>
      </w:r>
      <w:r w:rsidR="0045125E" w:rsidRPr="00BD453A">
        <w:rPr>
          <w:rFonts w:ascii="Cambria" w:hAnsi="Cambria"/>
          <w:sz w:val="22"/>
          <w:szCs w:val="22"/>
        </w:rPr>
        <w:t>Uwaga: dotyczy gazu wysokometanowego.</w:t>
      </w:r>
      <w:r w:rsidR="00ED083D" w:rsidRPr="00BD453A">
        <w:rPr>
          <w:rFonts w:ascii="Cambria" w:hAnsi="Cambria"/>
          <w:sz w:val="22"/>
          <w:szCs w:val="22"/>
        </w:rPr>
        <w:t xml:space="preserve"> </w:t>
      </w:r>
    </w:p>
    <w:p w14:paraId="3BCB9FD0" w14:textId="6312B439" w:rsidR="008001FD" w:rsidRPr="0045125E" w:rsidRDefault="008001FD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Obsługa odbiorców – sposoby płatności – </w:t>
      </w:r>
      <w:r w:rsidRPr="0045125E">
        <w:rPr>
          <w:rFonts w:ascii="Cambria" w:hAnsi="Cambria"/>
          <w:color w:val="000000"/>
          <w:sz w:val="22"/>
          <w:szCs w:val="22"/>
        </w:rPr>
        <w:t>należy zaznaczyć TAK w przypadku jeśli spółka obrotu umożliwia odbiorcom końcowym skorzystanie z danego typu płatności</w:t>
      </w:r>
      <w:r w:rsidR="00A928FF" w:rsidRPr="0045125E">
        <w:rPr>
          <w:rFonts w:ascii="Cambria" w:hAnsi="Cambria"/>
          <w:color w:val="000000"/>
          <w:sz w:val="22"/>
          <w:szCs w:val="22"/>
        </w:rPr>
        <w:t xml:space="preserve"> lub </w:t>
      </w:r>
      <w:r w:rsidR="00612294" w:rsidRPr="0045125E">
        <w:rPr>
          <w:rFonts w:ascii="Cambria" w:hAnsi="Cambria"/>
          <w:color w:val="000000"/>
          <w:sz w:val="22"/>
          <w:szCs w:val="22"/>
        </w:rPr>
        <w:t>NIE w przypadku jeśli spółka obrotu nie umożliwia odbiorcom końcowym skorzystanie z danego typu płatności.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45125E" w:rsidRPr="0045125E">
        <w:rPr>
          <w:rFonts w:ascii="Cambria" w:hAnsi="Cambria"/>
          <w:sz w:val="22"/>
          <w:szCs w:val="22"/>
        </w:rPr>
        <w:t>Uwaga: dotyczy gazu wysokometanowego.</w:t>
      </w:r>
    </w:p>
    <w:p w14:paraId="09DBE713" w14:textId="37D9BA96" w:rsidR="00612294" w:rsidRPr="0045125E" w:rsidRDefault="00612294" w:rsidP="0045125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Obsługa odbiorców – </w:t>
      </w:r>
      <w:r w:rsidR="008A0453" w:rsidRPr="0045125E">
        <w:rPr>
          <w:rFonts w:ascii="Cambria" w:hAnsi="Cambria"/>
          <w:i/>
          <w:iCs/>
          <w:color w:val="000000"/>
          <w:sz w:val="22"/>
          <w:szCs w:val="22"/>
        </w:rPr>
        <w:t>pozostałe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AF2159" w:rsidRPr="0045125E">
        <w:rPr>
          <w:rFonts w:ascii="Cambria" w:hAnsi="Cambria"/>
          <w:i/>
          <w:iCs/>
          <w:color w:val="000000"/>
          <w:sz w:val="22"/>
          <w:szCs w:val="22"/>
        </w:rPr>
        <w:t>rubryki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>–</w:t>
      </w:r>
      <w:r w:rsidR="008A0453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AF2159" w:rsidRPr="0045125E">
        <w:rPr>
          <w:rFonts w:ascii="Cambria" w:hAnsi="Cambria"/>
          <w:color w:val="000000"/>
          <w:sz w:val="22"/>
          <w:szCs w:val="22"/>
        </w:rPr>
        <w:t>należy zaznaczyć TAK w przypadku jeśli spółka obrotu umożliwia odbiorcom końcowym skorzystanie z danego typu funkcjonalności lub NIE w przypadku jeśli spółka obrotu nie umożliwia odbiorcom końcowym skorzystanie z danego typu funkcjonalności oraz podać liczbę odbiorców, którzy korzystają z danego typu funkcjonalności.</w:t>
      </w:r>
      <w:r w:rsidR="0045125E" w:rsidRPr="0045125E">
        <w:rPr>
          <w:rFonts w:ascii="Cambria" w:hAnsi="Cambria"/>
          <w:color w:val="000000"/>
          <w:sz w:val="22"/>
          <w:szCs w:val="22"/>
        </w:rPr>
        <w:t xml:space="preserve"> </w:t>
      </w:r>
      <w:r w:rsidR="0045125E" w:rsidRPr="0045125E">
        <w:rPr>
          <w:rFonts w:ascii="Cambria" w:hAnsi="Cambria"/>
          <w:sz w:val="22"/>
          <w:szCs w:val="22"/>
        </w:rPr>
        <w:t>Uwaga: dotyczy gazu wysokometanowego.</w:t>
      </w:r>
    </w:p>
    <w:p w14:paraId="6C425389" w14:textId="48C32478" w:rsidR="00877973" w:rsidRDefault="00087BE2" w:rsidP="0045125E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45125E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45125E">
        <w:rPr>
          <w:rFonts w:ascii="Cambria" w:hAnsi="Cambria"/>
          <w:i/>
          <w:iCs/>
          <w:color w:val="000000"/>
          <w:sz w:val="22"/>
          <w:szCs w:val="22"/>
        </w:rPr>
        <w:t xml:space="preserve">Skargi </w:t>
      </w:r>
      <w:r w:rsidRPr="0045125E">
        <w:rPr>
          <w:rFonts w:ascii="Cambria" w:hAnsi="Cambria"/>
          <w:iCs/>
          <w:color w:val="000000"/>
          <w:sz w:val="22"/>
          <w:szCs w:val="22"/>
        </w:rPr>
        <w:t xml:space="preserve">– należy podać ilość wniesionych do </w:t>
      </w:r>
      <w:r w:rsidR="00AF2159" w:rsidRPr="0045125E">
        <w:rPr>
          <w:rFonts w:ascii="Cambria" w:hAnsi="Cambria"/>
          <w:iCs/>
          <w:color w:val="000000"/>
          <w:sz w:val="22"/>
          <w:szCs w:val="22"/>
        </w:rPr>
        <w:t>spółki obrotu</w:t>
      </w:r>
      <w:r w:rsidRPr="0045125E">
        <w:rPr>
          <w:rFonts w:ascii="Cambria" w:hAnsi="Cambria"/>
          <w:iCs/>
          <w:color w:val="000000"/>
          <w:sz w:val="22"/>
          <w:szCs w:val="22"/>
        </w:rPr>
        <w:t xml:space="preserve"> skarg w poszczególnych kategoriach dla </w:t>
      </w:r>
      <w:r w:rsidR="00721C51" w:rsidRPr="0045125E">
        <w:rPr>
          <w:rFonts w:ascii="Cambria" w:hAnsi="Cambria"/>
          <w:iCs/>
          <w:color w:val="000000"/>
          <w:sz w:val="22"/>
          <w:szCs w:val="22"/>
        </w:rPr>
        <w:t>grupy taryfowej W 1-4</w:t>
      </w:r>
      <w:r w:rsidRPr="0045125E">
        <w:rPr>
          <w:rFonts w:ascii="Cambria" w:hAnsi="Cambria"/>
          <w:iCs/>
          <w:color w:val="000000"/>
          <w:sz w:val="22"/>
          <w:szCs w:val="22"/>
        </w:rPr>
        <w:t>.</w:t>
      </w:r>
      <w:r w:rsidR="00877973" w:rsidRPr="0045125E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877973" w:rsidRPr="00634728">
        <w:rPr>
          <w:rFonts w:ascii="Cambria" w:hAnsi="Cambria" w:cs="Tahoma"/>
          <w:color w:val="000000" w:themeColor="text1"/>
          <w:sz w:val="22"/>
          <w:szCs w:val="22"/>
          <w:shd w:val="clear" w:color="auto" w:fill="FFFFFF"/>
        </w:rPr>
        <w:t>Z</w:t>
      </w:r>
      <w:r w:rsidR="00877973" w:rsidRPr="0045125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877973" w:rsidRPr="0045125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877973" w:rsidRPr="0045125E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jest jako </w:t>
      </w:r>
      <w:r w:rsidR="00877973" w:rsidRPr="0045125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wyraz niezadowolenia odbiorcy, przekazany za pośrednictwem różnych możliwych środków komunikacji (pisemnie, pocztą elektroniczną, przez telefon, osobiście)</w:t>
      </w:r>
      <w:r w:rsidR="0045125E" w:rsidRPr="0045125E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. </w:t>
      </w:r>
      <w:r w:rsidR="0045125E" w:rsidRPr="0045125E">
        <w:rPr>
          <w:rFonts w:ascii="Cambria" w:hAnsi="Cambria"/>
          <w:sz w:val="22"/>
          <w:szCs w:val="22"/>
        </w:rPr>
        <w:t>Uwaga: dotyczy gazu wysokometanowego.</w:t>
      </w:r>
    </w:p>
    <w:p w14:paraId="31C236D3" w14:textId="300D6F0B" w:rsidR="00AE7FE6" w:rsidRPr="00AE7FE6" w:rsidRDefault="00AE7FE6" w:rsidP="00AE7FE6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 xml:space="preserve">Formularz: </w:t>
      </w:r>
      <w:r w:rsidRPr="00AE7FE6">
        <w:rPr>
          <w:rFonts w:ascii="Cambria" w:hAnsi="Cambria"/>
          <w:i/>
          <w:iCs/>
          <w:sz w:val="22"/>
          <w:szCs w:val="22"/>
        </w:rPr>
        <w:t>Bilans gazu wysokometanowego, Bilans gazu zaazotowanego, Bilans gazu LNG</w:t>
      </w:r>
      <w:r w:rsidRPr="00AE7FE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– </w:t>
      </w:r>
      <w:r w:rsidRPr="00AE7FE6">
        <w:rPr>
          <w:rFonts w:ascii="Cambria" w:hAnsi="Cambria"/>
          <w:i/>
          <w:iCs/>
          <w:sz w:val="22"/>
          <w:szCs w:val="22"/>
        </w:rPr>
        <w:t xml:space="preserve">Ceny gazu na rynkach krajowych </w:t>
      </w:r>
      <w:r>
        <w:rPr>
          <w:rFonts w:ascii="Cambria" w:hAnsi="Cambria"/>
          <w:sz w:val="22"/>
          <w:szCs w:val="22"/>
        </w:rPr>
        <w:t xml:space="preserve">- </w:t>
      </w:r>
      <w:r w:rsidRPr="00AE7FE6">
        <w:rPr>
          <w:rFonts w:ascii="Cambria" w:hAnsi="Cambria"/>
          <w:sz w:val="22"/>
          <w:szCs w:val="22"/>
        </w:rPr>
        <w:t>Formularz</w:t>
      </w:r>
      <w:r>
        <w:rPr>
          <w:rFonts w:ascii="Cambria" w:hAnsi="Cambria"/>
          <w:sz w:val="22"/>
          <w:szCs w:val="22"/>
        </w:rPr>
        <w:t>e</w:t>
      </w:r>
      <w:r w:rsidRPr="00AE7FE6">
        <w:rPr>
          <w:rFonts w:ascii="Cambria" w:hAnsi="Cambria"/>
          <w:sz w:val="22"/>
          <w:szCs w:val="22"/>
        </w:rPr>
        <w:t xml:space="preserve"> dotycz</w:t>
      </w:r>
      <w:r>
        <w:rPr>
          <w:rFonts w:ascii="Cambria" w:hAnsi="Cambria"/>
          <w:sz w:val="22"/>
          <w:szCs w:val="22"/>
        </w:rPr>
        <w:t>ą</w:t>
      </w:r>
      <w:r w:rsidRPr="00AE7FE6">
        <w:rPr>
          <w:rFonts w:ascii="Cambria" w:hAnsi="Cambria"/>
          <w:sz w:val="22"/>
          <w:szCs w:val="22"/>
        </w:rPr>
        <w:t xml:space="preserve"> średnich kwartalnych cen gazu ziemnego wysokometanowego, zaazotowanego podgrupy </w:t>
      </w:r>
      <w:proofErr w:type="spellStart"/>
      <w:r w:rsidRPr="00AE7FE6">
        <w:rPr>
          <w:rFonts w:ascii="Cambria" w:hAnsi="Cambria"/>
          <w:sz w:val="22"/>
          <w:szCs w:val="22"/>
        </w:rPr>
        <w:t>Lw</w:t>
      </w:r>
      <w:proofErr w:type="spellEnd"/>
      <w:r w:rsidRPr="00AE7FE6">
        <w:rPr>
          <w:rFonts w:ascii="Cambria" w:hAnsi="Cambria"/>
          <w:sz w:val="22"/>
          <w:szCs w:val="22"/>
        </w:rPr>
        <w:t xml:space="preserve"> oraz pozostałego gazu ziemnego zaazotowanego dla czterech głównych grup odbiorców końcowych: przemysłu, sektora handlu i usług, sektora użyteczności publicznej oraz gospodarstw domowych. Grupy te określone są jedynie za pomocą przynależności sektorowej. Ceny powinny być podane w zł/MWh w przeliczeniu na cały wolumen gazu sprzedanego odbiorcom końcowym w poszczególnych grupach, w podziale na pięć składników</w:t>
      </w:r>
    </w:p>
    <w:p w14:paraId="185ED0DB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lastRenderedPageBreak/>
        <w:t xml:space="preserve">• średnią cenę sprzedanego gazu (bez żadnych opłat tj. bez podatku akcyzowego, podatku VAT, opłaty za usługi sieciowe, abonamentu), </w:t>
      </w:r>
    </w:p>
    <w:p w14:paraId="3B7FACB4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>• średnią jednostkową opłatę abonamentową,</w:t>
      </w:r>
    </w:p>
    <w:p w14:paraId="324131CE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>• średnią wartość podatku akcyzowego; należy go pokazać w przeliczeniu na cały wolumen gazu sprzedanego odbiorcom w danej grupie, niezależnie od faktu płacenia akcyzy przez odbiorców,</w:t>
      </w:r>
    </w:p>
    <w:p w14:paraId="0FE939D7" w14:textId="2E0288A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>• średnią jednostkową opłatę za usługi przesyłania,</w:t>
      </w:r>
    </w:p>
    <w:p w14:paraId="1B452013" w14:textId="77777777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AE7FE6">
        <w:rPr>
          <w:rFonts w:ascii="Cambria" w:hAnsi="Cambria"/>
          <w:sz w:val="22"/>
          <w:szCs w:val="22"/>
        </w:rPr>
        <w:t xml:space="preserve">• średnią jednostkową opłatę za usługi dystrybucji. </w:t>
      </w:r>
    </w:p>
    <w:p w14:paraId="09530953" w14:textId="0E69CA26" w:rsidR="00AE7FE6" w:rsidRDefault="00AE7FE6" w:rsidP="00AE7FE6">
      <w:pPr>
        <w:pStyle w:val="Teksttreci1"/>
        <w:spacing w:before="0" w:after="120" w:line="360" w:lineRule="auto"/>
        <w:ind w:left="360" w:firstLine="0"/>
        <w:jc w:val="both"/>
      </w:pPr>
      <w:r w:rsidRPr="00AE7FE6">
        <w:rPr>
          <w:rFonts w:ascii="Cambria" w:hAnsi="Cambria"/>
          <w:sz w:val="22"/>
          <w:szCs w:val="22"/>
        </w:rPr>
        <w:t>Wszystkie powyższe składniki należy podać według cen netto i suma wszystkich składowych powinna stanowić średnią cenę płaconą przez odbiorcę końcowego z danej grupy. Do obliczania cen składowych dla wymienionych sektorów nie należy zaliczać tych odbiorców, którzy w danym kwartale nie zakupili gazu. Zatem żadne opłaty stałe związane z takimi odbiorcami nie powinny być wliczane do opłat dystrybucyjnych</w:t>
      </w:r>
      <w:r>
        <w:t>.</w:t>
      </w:r>
    </w:p>
    <w:p w14:paraId="0B7CBC6B" w14:textId="1BE1BCE4" w:rsidR="00AE7FE6" w:rsidRPr="00AE7FE6" w:rsidRDefault="00AE7FE6" w:rsidP="00AE7FE6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b/>
          <w:bCs/>
          <w:sz w:val="22"/>
          <w:szCs w:val="22"/>
        </w:rPr>
      </w:pPr>
      <w:r w:rsidRPr="00AE7FE6">
        <w:rPr>
          <w:rFonts w:ascii="Cambria" w:hAnsi="Cambria"/>
          <w:b/>
          <w:bCs/>
          <w:sz w:val="22"/>
          <w:szCs w:val="22"/>
        </w:rPr>
        <w:t>Dane dotyczą odpowiednio IV kwartału 2021 r. i IV kwartału 2020 r.</w:t>
      </w:r>
    </w:p>
    <w:p w14:paraId="2A6126BE" w14:textId="484077D7" w:rsidR="00087BE2" w:rsidRPr="00087BE2" w:rsidRDefault="00087BE2" w:rsidP="00877973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p w14:paraId="34CC510E" w14:textId="77777777" w:rsidR="00087BE2" w:rsidRPr="00087BE2" w:rsidRDefault="00087BE2" w:rsidP="00087BE2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sectPr w:rsidR="00087BE2" w:rsidRPr="00087BE2">
      <w:footerReference w:type="default" r:id="rId9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971A" w14:textId="77777777" w:rsidR="00D54F98" w:rsidRDefault="00D54F9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9DC72C8" w14:textId="77777777" w:rsidR="00D54F98" w:rsidRDefault="00D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4392" w:rsidRPr="00754392">
                            <w:rPr>
                              <w:rStyle w:val="Nagweklubstopka105pt"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Ki0gEAAI0DAAAOAAAAZHJzL2Uyb0RvYy54bWysU9tu2zAMfR+wfxD0vjhu0G4w4hRdiwwD&#10;uq1Atw+gZdkWZosCpcTOvn6UHKe7vA17EWhSOjznkN7eTkMvjpq8QVvKfLWWQluFtbFtKb993b95&#10;J4UPYGvo0epSnrSXt7vXr7ajK/QVdtjXmgSDWF+MrpRdCK7IMq86PYBfodOWiw3SAIE/qc1qgpHR&#10;hz67Wq9vshGpdoRKe8/Zh7kodwm/abQKX5rG6yD6UjK3kE5KZxXPbLeFoiVwnVFnGvAPLAYwlpte&#10;oB4ggDiQ+QtqMIrQYxNWCocMm8YonTSwmnz9h5rnDpxOWtgc7y42+f8Hqz4fn90TiTC9x4kHmER4&#10;94jquxcW7zuwrb4jwrHTUHPjPFqWjc4X56fRal/4CFKNn7DmIcMhYAKaGhqiK6xTMDoP4HQxXU9B&#10;KE7evN3kXFBcya836811agDF8taRDx80DiIGpSQeacKG46MPkQsUy5XYyuLe9H0aa29/S/DFmEnc&#10;I92ZeJiqiW9HDRXWJ1ZBOG8JbzUHHdIPKUbekFJaXmEp+o+WfYjLtAS0BNUSgFX8sJRBijm8D/PS&#10;HRyZtmPcxek79mpvkpAXDmeWPPOk77yfcal+/U63Xv6i3U8AAAD//wMAUEsDBBQABgAIAAAAIQDs&#10;WAct4AAAAA0BAAAPAAAAZHJzL2Rvd25yZXYueG1sTI/BTsMwDIbvSLxDZCRuW9pB16lrOqFJXLgx&#10;JiRuWeM11RKnSrKufXuyExxtf/r9/fVusoaN6EPvSEC+zIAhtU711Ak4fr0vNsBClKSkcYQCZgyw&#10;ax4falkpd6NPHA+xYymEQiUF6BiHivPQarQyLN2AlG5n562MafQdV17eUrg1fJVla25lT+mDlgPu&#10;NbaXw9UKKKdvh0PAPf6cx9brft6Yj1mI56fpbQss4hT/YLjrJ3VoktPJXUkFZgQU69cyoQIW+apI&#10;JRJSlMULsNN9leUl8Kbm/1s0vwAAAP//AwBQSwECLQAUAAYACAAAACEAtoM4kv4AAADhAQAAEwAA&#10;AAAAAAAAAAAAAAAAAAAAW0NvbnRlbnRfVHlwZXNdLnhtbFBLAQItABQABgAIAAAAIQA4/SH/1gAA&#10;AJQBAAALAAAAAAAAAAAAAAAAAC8BAABfcmVscy8ucmVsc1BLAQItABQABgAIAAAAIQB8PtKi0gEA&#10;AI0DAAAOAAAAAAAAAAAAAAAAAC4CAABkcnMvZTJvRG9jLnhtbFBLAQItABQABgAIAAAAIQDsWAct&#10;4AAAAA0BAAAPAAAAAAAAAAAAAAAAACwEAABkcnMvZG93bnJldi54bWxQSwUGAAAAAAQABADzAAAA&#10;OQU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4392" w:rsidRPr="00754392">
                      <w:rPr>
                        <w:rStyle w:val="Nagweklubstopka105pt"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02CD" w14:textId="77777777" w:rsidR="00D54F98" w:rsidRDefault="00D54F9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4948076" w14:textId="77777777" w:rsidR="00D54F98" w:rsidRDefault="00D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7F560BC"/>
    <w:multiLevelType w:val="hybridMultilevel"/>
    <w:tmpl w:val="94CC0112"/>
    <w:lvl w:ilvl="0" w:tplc="4F76E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45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21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7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26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E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0A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4D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BC31CD"/>
    <w:multiLevelType w:val="hybridMultilevel"/>
    <w:tmpl w:val="9C18C2B0"/>
    <w:lvl w:ilvl="0" w:tplc="7E10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22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3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C4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A2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C5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44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CA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0E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B487A"/>
    <w:multiLevelType w:val="hybridMultilevel"/>
    <w:tmpl w:val="51D60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4C1A81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936EA8"/>
    <w:multiLevelType w:val="hybridMultilevel"/>
    <w:tmpl w:val="EA90502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D59B6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724E0A"/>
    <w:multiLevelType w:val="hybridMultilevel"/>
    <w:tmpl w:val="58787258"/>
    <w:lvl w:ilvl="0" w:tplc="21006D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D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C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A9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BF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C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0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A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D76"/>
    <w:multiLevelType w:val="hybridMultilevel"/>
    <w:tmpl w:val="EC229B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335C3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AE52CD"/>
    <w:multiLevelType w:val="hybridMultilevel"/>
    <w:tmpl w:val="7AF0C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E10F70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E0"/>
    <w:rsid w:val="00002BEA"/>
    <w:rsid w:val="000068B3"/>
    <w:rsid w:val="00011D52"/>
    <w:rsid w:val="00026EA7"/>
    <w:rsid w:val="0003675F"/>
    <w:rsid w:val="00046E9A"/>
    <w:rsid w:val="000774CC"/>
    <w:rsid w:val="00083066"/>
    <w:rsid w:val="0008644E"/>
    <w:rsid w:val="00086B3D"/>
    <w:rsid w:val="00087BE2"/>
    <w:rsid w:val="00087F10"/>
    <w:rsid w:val="00095D38"/>
    <w:rsid w:val="000A3371"/>
    <w:rsid w:val="000C3B0A"/>
    <w:rsid w:val="000D07AE"/>
    <w:rsid w:val="00102B1A"/>
    <w:rsid w:val="001051FB"/>
    <w:rsid w:val="00106EBC"/>
    <w:rsid w:val="001307EC"/>
    <w:rsid w:val="001434FA"/>
    <w:rsid w:val="00150F4A"/>
    <w:rsid w:val="0015423E"/>
    <w:rsid w:val="00155C30"/>
    <w:rsid w:val="00182A5C"/>
    <w:rsid w:val="001976FD"/>
    <w:rsid w:val="001A6350"/>
    <w:rsid w:val="001B7B0E"/>
    <w:rsid w:val="001C640A"/>
    <w:rsid w:val="001D392F"/>
    <w:rsid w:val="001E422F"/>
    <w:rsid w:val="001E62B0"/>
    <w:rsid w:val="002028F6"/>
    <w:rsid w:val="00210D93"/>
    <w:rsid w:val="00237522"/>
    <w:rsid w:val="00245389"/>
    <w:rsid w:val="00245FC3"/>
    <w:rsid w:val="00250811"/>
    <w:rsid w:val="002521E0"/>
    <w:rsid w:val="002700DF"/>
    <w:rsid w:val="002B4CA5"/>
    <w:rsid w:val="002C3CF2"/>
    <w:rsid w:val="002F10D2"/>
    <w:rsid w:val="002F2D13"/>
    <w:rsid w:val="0031180C"/>
    <w:rsid w:val="00323682"/>
    <w:rsid w:val="00324239"/>
    <w:rsid w:val="003247A9"/>
    <w:rsid w:val="00325573"/>
    <w:rsid w:val="00364168"/>
    <w:rsid w:val="00364E3A"/>
    <w:rsid w:val="00376CEF"/>
    <w:rsid w:val="003849B8"/>
    <w:rsid w:val="00394D19"/>
    <w:rsid w:val="003A4557"/>
    <w:rsid w:val="003B78C0"/>
    <w:rsid w:val="003C7923"/>
    <w:rsid w:val="003D42A1"/>
    <w:rsid w:val="003E56C7"/>
    <w:rsid w:val="003E7EAD"/>
    <w:rsid w:val="0045125E"/>
    <w:rsid w:val="00451E4C"/>
    <w:rsid w:val="00456D5C"/>
    <w:rsid w:val="00484908"/>
    <w:rsid w:val="004A26C5"/>
    <w:rsid w:val="004A50E7"/>
    <w:rsid w:val="004B04DA"/>
    <w:rsid w:val="004C0D9F"/>
    <w:rsid w:val="004C2936"/>
    <w:rsid w:val="004E5BAF"/>
    <w:rsid w:val="004E5E15"/>
    <w:rsid w:val="004E662D"/>
    <w:rsid w:val="004E6AE5"/>
    <w:rsid w:val="004F767D"/>
    <w:rsid w:val="00535E83"/>
    <w:rsid w:val="00541CC1"/>
    <w:rsid w:val="0055146D"/>
    <w:rsid w:val="00553825"/>
    <w:rsid w:val="00554CAD"/>
    <w:rsid w:val="00556672"/>
    <w:rsid w:val="00577259"/>
    <w:rsid w:val="00580413"/>
    <w:rsid w:val="005865FF"/>
    <w:rsid w:val="0059029A"/>
    <w:rsid w:val="0059091B"/>
    <w:rsid w:val="0059633B"/>
    <w:rsid w:val="0059690E"/>
    <w:rsid w:val="005A3A21"/>
    <w:rsid w:val="005A4491"/>
    <w:rsid w:val="005B6A5E"/>
    <w:rsid w:val="005C2D09"/>
    <w:rsid w:val="005D584D"/>
    <w:rsid w:val="0060365F"/>
    <w:rsid w:val="00604A13"/>
    <w:rsid w:val="00612294"/>
    <w:rsid w:val="0062527F"/>
    <w:rsid w:val="006314D2"/>
    <w:rsid w:val="00634728"/>
    <w:rsid w:val="00636E76"/>
    <w:rsid w:val="0066230A"/>
    <w:rsid w:val="00662ADB"/>
    <w:rsid w:val="00664AE7"/>
    <w:rsid w:val="00691AB0"/>
    <w:rsid w:val="00692316"/>
    <w:rsid w:val="00697AD1"/>
    <w:rsid w:val="006A6F7F"/>
    <w:rsid w:val="006B36E7"/>
    <w:rsid w:val="006B6B63"/>
    <w:rsid w:val="006B738A"/>
    <w:rsid w:val="006D42E1"/>
    <w:rsid w:val="006F6A79"/>
    <w:rsid w:val="006F6ADB"/>
    <w:rsid w:val="00703EBF"/>
    <w:rsid w:val="00721C51"/>
    <w:rsid w:val="0073507A"/>
    <w:rsid w:val="00743F03"/>
    <w:rsid w:val="00750F2F"/>
    <w:rsid w:val="00754392"/>
    <w:rsid w:val="00763F50"/>
    <w:rsid w:val="0076720B"/>
    <w:rsid w:val="007701B0"/>
    <w:rsid w:val="00785C27"/>
    <w:rsid w:val="00785F48"/>
    <w:rsid w:val="00796B24"/>
    <w:rsid w:val="0079765F"/>
    <w:rsid w:val="007A1BA8"/>
    <w:rsid w:val="007B0FA9"/>
    <w:rsid w:val="007C38C9"/>
    <w:rsid w:val="007C4633"/>
    <w:rsid w:val="007E7189"/>
    <w:rsid w:val="008001FD"/>
    <w:rsid w:val="00803191"/>
    <w:rsid w:val="00803586"/>
    <w:rsid w:val="00803786"/>
    <w:rsid w:val="00817329"/>
    <w:rsid w:val="0083593F"/>
    <w:rsid w:val="0083668D"/>
    <w:rsid w:val="008420B9"/>
    <w:rsid w:val="00862674"/>
    <w:rsid w:val="00870D21"/>
    <w:rsid w:val="00877973"/>
    <w:rsid w:val="00887FF6"/>
    <w:rsid w:val="00890834"/>
    <w:rsid w:val="008967BA"/>
    <w:rsid w:val="008A0453"/>
    <w:rsid w:val="008A37C4"/>
    <w:rsid w:val="008B14CA"/>
    <w:rsid w:val="008B64EF"/>
    <w:rsid w:val="008C334F"/>
    <w:rsid w:val="008C47EF"/>
    <w:rsid w:val="008D5F72"/>
    <w:rsid w:val="008F4763"/>
    <w:rsid w:val="0092157A"/>
    <w:rsid w:val="0095416C"/>
    <w:rsid w:val="00957ECB"/>
    <w:rsid w:val="0096131C"/>
    <w:rsid w:val="009710CD"/>
    <w:rsid w:val="00985742"/>
    <w:rsid w:val="009B1CDC"/>
    <w:rsid w:val="009B358E"/>
    <w:rsid w:val="009B5E66"/>
    <w:rsid w:val="009B6C63"/>
    <w:rsid w:val="009C06F9"/>
    <w:rsid w:val="009C415A"/>
    <w:rsid w:val="009D734D"/>
    <w:rsid w:val="009E4F38"/>
    <w:rsid w:val="009F1DE9"/>
    <w:rsid w:val="009F2275"/>
    <w:rsid w:val="009F3F53"/>
    <w:rsid w:val="009F7B03"/>
    <w:rsid w:val="00A0471B"/>
    <w:rsid w:val="00A267A7"/>
    <w:rsid w:val="00A35702"/>
    <w:rsid w:val="00A448C6"/>
    <w:rsid w:val="00A5432E"/>
    <w:rsid w:val="00A64B8C"/>
    <w:rsid w:val="00A73BB2"/>
    <w:rsid w:val="00A75151"/>
    <w:rsid w:val="00A928FF"/>
    <w:rsid w:val="00AA33CA"/>
    <w:rsid w:val="00AA4A08"/>
    <w:rsid w:val="00AC0C12"/>
    <w:rsid w:val="00AC733B"/>
    <w:rsid w:val="00AC758D"/>
    <w:rsid w:val="00AE270D"/>
    <w:rsid w:val="00AE750B"/>
    <w:rsid w:val="00AE7FE6"/>
    <w:rsid w:val="00AF1584"/>
    <w:rsid w:val="00AF2159"/>
    <w:rsid w:val="00B066BF"/>
    <w:rsid w:val="00B212DA"/>
    <w:rsid w:val="00B247A3"/>
    <w:rsid w:val="00B3311B"/>
    <w:rsid w:val="00B470F5"/>
    <w:rsid w:val="00B4725A"/>
    <w:rsid w:val="00B570B1"/>
    <w:rsid w:val="00B57B18"/>
    <w:rsid w:val="00B74982"/>
    <w:rsid w:val="00B91B2B"/>
    <w:rsid w:val="00BA3FCA"/>
    <w:rsid w:val="00BB0266"/>
    <w:rsid w:val="00BB327E"/>
    <w:rsid w:val="00BC2030"/>
    <w:rsid w:val="00BC228C"/>
    <w:rsid w:val="00BD453A"/>
    <w:rsid w:val="00BE3532"/>
    <w:rsid w:val="00BF4AC1"/>
    <w:rsid w:val="00BF556E"/>
    <w:rsid w:val="00C11B8B"/>
    <w:rsid w:val="00C27284"/>
    <w:rsid w:val="00C44BDF"/>
    <w:rsid w:val="00C71A3B"/>
    <w:rsid w:val="00C71AB1"/>
    <w:rsid w:val="00C8611A"/>
    <w:rsid w:val="00C86FD3"/>
    <w:rsid w:val="00C91054"/>
    <w:rsid w:val="00CA3C68"/>
    <w:rsid w:val="00CC4A57"/>
    <w:rsid w:val="00CC4FC9"/>
    <w:rsid w:val="00CF4AA0"/>
    <w:rsid w:val="00D023AF"/>
    <w:rsid w:val="00D0598D"/>
    <w:rsid w:val="00D13D01"/>
    <w:rsid w:val="00D36D85"/>
    <w:rsid w:val="00D41286"/>
    <w:rsid w:val="00D42362"/>
    <w:rsid w:val="00D51EB8"/>
    <w:rsid w:val="00D542A5"/>
    <w:rsid w:val="00D54F98"/>
    <w:rsid w:val="00D9670E"/>
    <w:rsid w:val="00DA18C2"/>
    <w:rsid w:val="00DB36CC"/>
    <w:rsid w:val="00DC15E2"/>
    <w:rsid w:val="00DD2230"/>
    <w:rsid w:val="00DD2F14"/>
    <w:rsid w:val="00DE0DA7"/>
    <w:rsid w:val="00DE2FCD"/>
    <w:rsid w:val="00E055A3"/>
    <w:rsid w:val="00E1678A"/>
    <w:rsid w:val="00E201AF"/>
    <w:rsid w:val="00E6606A"/>
    <w:rsid w:val="00E97CF5"/>
    <w:rsid w:val="00EA7885"/>
    <w:rsid w:val="00EB2683"/>
    <w:rsid w:val="00EB2C38"/>
    <w:rsid w:val="00EC4116"/>
    <w:rsid w:val="00ED083D"/>
    <w:rsid w:val="00ED3227"/>
    <w:rsid w:val="00F3265D"/>
    <w:rsid w:val="00F415F3"/>
    <w:rsid w:val="00F5011F"/>
    <w:rsid w:val="00F501CC"/>
    <w:rsid w:val="00F5402A"/>
    <w:rsid w:val="00F57340"/>
    <w:rsid w:val="00F613AF"/>
    <w:rsid w:val="00F61862"/>
    <w:rsid w:val="00F66B52"/>
    <w:rsid w:val="00F7095B"/>
    <w:rsid w:val="00F73B83"/>
    <w:rsid w:val="00F74C72"/>
    <w:rsid w:val="00F77981"/>
    <w:rsid w:val="00FB08C5"/>
    <w:rsid w:val="00FD1510"/>
    <w:rsid w:val="00FD1C6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15871"/>
  <w15:docId w15:val="{50AC53DF-5ADA-4403-B90F-FDE9F5F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4E3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702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812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410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0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52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027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83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169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54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03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792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21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175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247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59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5987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09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86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84">
          <w:marLeft w:val="706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2671A-A2A6-43A7-A8D9-2F258ACE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hania</cp:lastModifiedBy>
  <cp:revision>3</cp:revision>
  <cp:lastPrinted>2020-01-13T09:26:00Z</cp:lastPrinted>
  <dcterms:created xsi:type="dcterms:W3CDTF">2021-12-10T13:29:00Z</dcterms:created>
  <dcterms:modified xsi:type="dcterms:W3CDTF">2022-01-12T13:28:00Z</dcterms:modified>
</cp:coreProperties>
</file>