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546C3CD4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„Jednorazowe badanie roczne OSD</w:t>
      </w:r>
      <w:r w:rsidR="00A500E8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– energia elektryczna</w:t>
      </w:r>
      <w:r w:rsidR="00F5402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”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36A5B303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C86FD3">
        <w:rPr>
          <w:rFonts w:ascii="Cambria" w:hAnsi="Cambria"/>
          <w:sz w:val="22"/>
          <w:szCs w:val="22"/>
        </w:rPr>
        <w:t>dystrybucją</w:t>
      </w:r>
      <w:r w:rsidRPr="00AE750B">
        <w:rPr>
          <w:rFonts w:ascii="Cambria" w:hAnsi="Cambria"/>
          <w:sz w:val="22"/>
          <w:szCs w:val="22"/>
        </w:rPr>
        <w:t xml:space="preserve"> </w:t>
      </w:r>
      <w:r w:rsidR="000774CC">
        <w:rPr>
          <w:rFonts w:ascii="Cambria" w:hAnsi="Cambria"/>
          <w:sz w:val="22"/>
          <w:szCs w:val="22"/>
        </w:rPr>
        <w:t>energii elektrycznej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posiadające koncesję Prezesa Urzędu Regulacji Energetyki</w:t>
      </w:r>
      <w:r w:rsidR="00F42510" w:rsidRPr="000B7874">
        <w:rPr>
          <w:rFonts w:ascii="Cambria" w:hAnsi="Cambria"/>
          <w:sz w:val="22"/>
          <w:szCs w:val="22"/>
        </w:rPr>
        <w:t xml:space="preserve">, dalej: </w:t>
      </w:r>
      <w:r w:rsidR="00F42510" w:rsidRPr="000B7874">
        <w:rPr>
          <w:rFonts w:ascii="Cambria" w:hAnsi="Cambria"/>
          <w:i/>
          <w:sz w:val="22"/>
          <w:szCs w:val="22"/>
        </w:rPr>
        <w:t xml:space="preserve">Prezesa URE, </w:t>
      </w:r>
      <w:r w:rsidRPr="00AE750B">
        <w:rPr>
          <w:rFonts w:ascii="Cambria" w:hAnsi="Cambria"/>
          <w:sz w:val="22"/>
          <w:szCs w:val="22"/>
        </w:rPr>
        <w:t xml:space="preserve"> na działalność gospodarczą w </w:t>
      </w:r>
      <w:r w:rsidR="00C86FD3">
        <w:rPr>
          <w:rFonts w:ascii="Cambria" w:hAnsi="Cambria"/>
          <w:sz w:val="22"/>
          <w:szCs w:val="22"/>
        </w:rPr>
        <w:t xml:space="preserve"> tym </w:t>
      </w:r>
      <w:r w:rsidR="000A58BE">
        <w:rPr>
          <w:rFonts w:ascii="Cambria" w:hAnsi="Cambria"/>
          <w:sz w:val="22"/>
          <w:szCs w:val="22"/>
        </w:rPr>
        <w:t xml:space="preserve">zakresie, dalej: </w:t>
      </w:r>
      <w:r w:rsidR="00BC228C" w:rsidRPr="000A58BE">
        <w:rPr>
          <w:rFonts w:ascii="Cambria" w:hAnsi="Cambria"/>
          <w:i/>
          <w:sz w:val="22"/>
          <w:szCs w:val="22"/>
        </w:rPr>
        <w:t>OSD</w:t>
      </w:r>
      <w:r w:rsidR="00D023AF" w:rsidRPr="00AE750B">
        <w:rPr>
          <w:rFonts w:ascii="Cambria" w:hAnsi="Cambria"/>
          <w:sz w:val="22"/>
          <w:szCs w:val="22"/>
        </w:rPr>
        <w:t>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61F60668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</w:t>
      </w:r>
      <w:r w:rsidR="009E4F38">
        <w:rPr>
          <w:rStyle w:val="Teksttreci4"/>
          <w:rFonts w:ascii="Cambria" w:hAnsi="Cambria"/>
          <w:b w:val="0"/>
          <w:color w:val="000000"/>
        </w:rPr>
        <w:t>1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 31 grudnia 20</w:t>
      </w:r>
      <w:r w:rsidR="00E97CF5">
        <w:rPr>
          <w:rStyle w:val="Teksttreci4"/>
          <w:rFonts w:ascii="Cambria" w:hAnsi="Cambria"/>
          <w:b w:val="0"/>
          <w:color w:val="000000"/>
        </w:rPr>
        <w:t>2</w:t>
      </w:r>
      <w:r w:rsidR="009E4F38">
        <w:rPr>
          <w:rStyle w:val="Teksttreci4"/>
          <w:rFonts w:ascii="Cambria" w:hAnsi="Cambria"/>
          <w:b w:val="0"/>
          <w:color w:val="000000"/>
        </w:rPr>
        <w:t>1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F42510">
        <w:rPr>
          <w:rStyle w:val="Teksttreci4"/>
          <w:rFonts w:ascii="Cambria" w:hAnsi="Cambria"/>
          <w:b w:val="0"/>
          <w:color w:val="000000"/>
        </w:rPr>
        <w:t xml:space="preserve"> </w:t>
      </w:r>
      <w:bookmarkStart w:id="0" w:name="_Hlk92718035"/>
      <w:r w:rsidR="00F42510" w:rsidRPr="000B7874">
        <w:rPr>
          <w:rStyle w:val="Teksttreci4"/>
          <w:rFonts w:ascii="Cambria" w:hAnsi="Cambria"/>
          <w:b w:val="0"/>
          <w:color w:val="000000"/>
        </w:rPr>
        <w:t>lub stan na dzień 31 grudnia 2021 r.</w:t>
      </w:r>
      <w:bookmarkEnd w:id="0"/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41F0542C" w14:textId="0C18544F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drr.monitoring</w:t>
      </w:r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do </w:t>
      </w:r>
      <w:r w:rsidR="00F42510"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21 lutego 2022 r.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agnieszka.luba@ure.gov.pl</w:t>
      </w:r>
    </w:p>
    <w:p w14:paraId="30CB2019" w14:textId="7CB49A8A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B6C63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A500E8">
        <w:rPr>
          <w:rStyle w:val="Teksttreci"/>
          <w:rFonts w:ascii="Cambria" w:hAnsi="Cambria"/>
          <w:color w:val="000000"/>
          <w:sz w:val="22"/>
          <w:szCs w:val="22"/>
        </w:rPr>
        <w:t>_energia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9E4F38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0F67BE81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ePUAP,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9B6C63">
        <w:rPr>
          <w:rFonts w:ascii="Cambria" w:hAnsi="Cambria" w:cs="Cambria"/>
          <w:sz w:val="22"/>
          <w:szCs w:val="22"/>
        </w:rPr>
        <w:t xml:space="preserve">OSD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F42510" w:rsidRPr="000B787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21 lutego 2022 r.</w:t>
      </w:r>
    </w:p>
    <w:p w14:paraId="02A28CB3" w14:textId="1E52E7E9" w:rsidR="003B78C0" w:rsidRPr="00AE750B" w:rsidRDefault="003B78C0" w:rsidP="003B78C0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 xml:space="preserve">do reprezentowania </w:t>
      </w:r>
      <w:r>
        <w:rPr>
          <w:rFonts w:ascii="Cambria" w:hAnsi="Cambria" w:cs="Verdana"/>
          <w:sz w:val="22"/>
          <w:szCs w:val="22"/>
        </w:rPr>
        <w:t xml:space="preserve">OSD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</w:t>
      </w:r>
      <w:r w:rsidR="007C75B9">
        <w:rPr>
          <w:rFonts w:ascii="Cambria" w:hAnsi="Cambria" w:cs="Verdana"/>
          <w:sz w:val="22"/>
          <w:szCs w:val="22"/>
        </w:rPr>
        <w:t xml:space="preserve">rokury </w:t>
      </w:r>
      <w:r w:rsidR="007241E8">
        <w:rPr>
          <w:rFonts w:ascii="Cambria" w:hAnsi="Cambria" w:cs="Verdana"/>
          <w:sz w:val="22"/>
          <w:szCs w:val="22"/>
        </w:rPr>
        <w:t xml:space="preserve">- </w:t>
      </w:r>
      <w:r w:rsidRPr="00AE750B">
        <w:rPr>
          <w:rFonts w:ascii="Cambria" w:hAnsi="Cambria" w:cs="Verdana"/>
          <w:sz w:val="22"/>
          <w:szCs w:val="22"/>
        </w:rPr>
        <w:t>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>(</w:t>
      </w:r>
      <w:r w:rsidR="000A58BE">
        <w:rPr>
          <w:rFonts w:ascii="Cambria" w:hAnsi="Cambria"/>
          <w:sz w:val="22"/>
          <w:szCs w:val="22"/>
        </w:rPr>
        <w:t xml:space="preserve">tj. </w:t>
      </w:r>
      <w:r w:rsidRPr="00AE750B">
        <w:rPr>
          <w:rFonts w:ascii="Cambria" w:hAnsi="Cambria"/>
          <w:sz w:val="22"/>
          <w:szCs w:val="22"/>
        </w:rPr>
        <w:t xml:space="preserve">Dz. U. z </w:t>
      </w:r>
      <w:r>
        <w:rPr>
          <w:rFonts w:ascii="Cambria" w:hAnsi="Cambria"/>
          <w:sz w:val="22"/>
          <w:szCs w:val="22"/>
        </w:rPr>
        <w:t>20</w:t>
      </w:r>
      <w:r w:rsidR="000A58BE">
        <w:rPr>
          <w:rFonts w:ascii="Cambria" w:hAnsi="Cambria"/>
          <w:sz w:val="22"/>
          <w:szCs w:val="22"/>
        </w:rPr>
        <w:t>21</w:t>
      </w:r>
      <w:r>
        <w:rPr>
          <w:rFonts w:ascii="Cambria" w:hAnsi="Cambria"/>
          <w:sz w:val="22"/>
          <w:szCs w:val="22"/>
        </w:rPr>
        <w:t xml:space="preserve"> r. poz. </w:t>
      </w:r>
      <w:r w:rsidR="000A58BE">
        <w:rPr>
          <w:rFonts w:ascii="Cambria" w:hAnsi="Cambria"/>
          <w:sz w:val="22"/>
          <w:szCs w:val="22"/>
        </w:rPr>
        <w:t>1923</w:t>
      </w:r>
      <w:r>
        <w:rPr>
          <w:rFonts w:ascii="Cambria" w:hAnsi="Cambria"/>
          <w:sz w:val="22"/>
          <w:szCs w:val="22"/>
        </w:rPr>
        <w:t>)</w:t>
      </w:r>
      <w:r w:rsidRPr="00AE750B">
        <w:rPr>
          <w:rFonts w:ascii="Cambria" w:hAnsi="Cambria" w:cs="Verdana"/>
          <w:sz w:val="22"/>
          <w:szCs w:val="22"/>
        </w:rPr>
        <w:t xml:space="preserve">. Zapłata opłaty skarbowej powinna być </w:t>
      </w:r>
      <w:r w:rsidRPr="00AE750B">
        <w:rPr>
          <w:rFonts w:ascii="Cambria" w:hAnsi="Cambria" w:cs="Verdana"/>
          <w:sz w:val="22"/>
          <w:szCs w:val="22"/>
        </w:rPr>
        <w:lastRenderedPageBreak/>
        <w:t>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735B4EA2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dnia               </w:t>
      </w:r>
      <w:r w:rsidRPr="00AE750B">
        <w:rPr>
          <w:rFonts w:ascii="Cambria" w:hAnsi="Cambria" w:cs="Verdana"/>
          <w:sz w:val="22"/>
          <w:szCs w:val="22"/>
        </w:rPr>
        <w:t>16 kwietnia 1993 r. o zwalczaniu nieuczciwej konkurenc</w:t>
      </w:r>
      <w:r w:rsidR="00AE750B">
        <w:rPr>
          <w:rFonts w:ascii="Cambria" w:hAnsi="Cambria" w:cs="Verdana"/>
          <w:sz w:val="22"/>
          <w:szCs w:val="22"/>
        </w:rPr>
        <w:t>ji (</w:t>
      </w:r>
      <w:r w:rsidR="000A58BE">
        <w:rPr>
          <w:rFonts w:ascii="Cambria" w:hAnsi="Cambria" w:cs="Verdana"/>
          <w:sz w:val="22"/>
          <w:szCs w:val="22"/>
        </w:rPr>
        <w:t xml:space="preserve">tj. </w:t>
      </w:r>
      <w:r w:rsidR="00AE750B">
        <w:rPr>
          <w:rFonts w:ascii="Cambria" w:hAnsi="Cambria" w:cs="Verdana"/>
          <w:sz w:val="22"/>
          <w:szCs w:val="22"/>
        </w:rPr>
        <w:t>Dz. U. z 20</w:t>
      </w:r>
      <w:r w:rsidR="000A58BE">
        <w:rPr>
          <w:rFonts w:ascii="Cambria" w:hAnsi="Cambria" w:cs="Verdana"/>
          <w:sz w:val="22"/>
          <w:szCs w:val="22"/>
        </w:rPr>
        <w:t>20</w:t>
      </w:r>
      <w:r w:rsidR="00AE750B">
        <w:rPr>
          <w:rFonts w:ascii="Cambria" w:hAnsi="Cambria" w:cs="Verdana"/>
          <w:sz w:val="22"/>
          <w:szCs w:val="22"/>
        </w:rPr>
        <w:t xml:space="preserve"> r. poz. 1</w:t>
      </w:r>
      <w:r w:rsidR="000A58BE">
        <w:rPr>
          <w:rFonts w:ascii="Cambria" w:hAnsi="Cambria" w:cs="Verdana"/>
          <w:sz w:val="22"/>
          <w:szCs w:val="22"/>
        </w:rPr>
        <w:t>913</w:t>
      </w:r>
      <w:r w:rsidR="00AE750B">
        <w:rPr>
          <w:rFonts w:ascii="Cambria" w:hAnsi="Cambria" w:cs="Verdana"/>
          <w:sz w:val="22"/>
          <w:szCs w:val="22"/>
        </w:rPr>
        <w:t xml:space="preserve">,                          </w:t>
      </w:r>
      <w:r w:rsidR="000A58BE">
        <w:rPr>
          <w:rFonts w:ascii="Cambria" w:hAnsi="Cambria" w:cs="Verdana"/>
          <w:sz w:val="22"/>
          <w:szCs w:val="22"/>
        </w:rPr>
        <w:t>ze</w:t>
      </w:r>
      <w:r w:rsidRPr="00AE750B">
        <w:rPr>
          <w:rFonts w:ascii="Cambria" w:hAnsi="Cambria" w:cs="Verdana"/>
          <w:sz w:val="22"/>
          <w:szCs w:val="22"/>
        </w:rPr>
        <w:t xml:space="preserve"> zm.), a zatem jako takie nie powinny być ujawniane podmiotom trzecim, prosimy</w:t>
      </w:r>
      <w:r w:rsidR="000A58BE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>o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7B66D4D9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>OSD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 xml:space="preserve">należy </w:t>
      </w:r>
      <w:r w:rsidR="00CC4FC9"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rrrr-mm-dd, tj. </w:t>
      </w:r>
      <w:r w:rsidRPr="009E4F38">
        <w:rPr>
          <w:rStyle w:val="Teksttreci"/>
          <w:rFonts w:ascii="Cambria" w:hAnsi="Cambria"/>
          <w:b/>
          <w:bCs/>
          <w:color w:val="000000"/>
          <w:sz w:val="22"/>
          <w:szCs w:val="22"/>
        </w:rPr>
        <w:t>rok-miesiąc-dzień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38716889" w:rsidR="00B247A3" w:rsidRPr="009E4F38" w:rsidRDefault="009F7B03" w:rsidP="00A6281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 xml:space="preserve">dystrybucji </w:t>
      </w:r>
      <w:r w:rsidR="000774CC"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1C42D94" w14:textId="4682F115" w:rsidR="009E4F38" w:rsidRPr="009E4F38" w:rsidRDefault="009E4F38" w:rsidP="00A6281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Agregacja danych:</w:t>
      </w:r>
    </w:p>
    <w:p w14:paraId="1A797230" w14:textId="35BD24B9" w:rsidR="009E4F38" w:rsidRP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Agregacja według liczby odbiorców</w:t>
      </w:r>
    </w:p>
    <w:p w14:paraId="401E4AA5" w14:textId="68C2088C" w:rsid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>Jako liczbę odbiorców rozumie się osoby fizyczne identyfikowane numerem PESEL lub prawne identyfikowane jednym numerem NIP bez względu na ilość posiadanych umów sprzedaży czy punktów pomiarowych (wyjątek: odbiorca posiada dwie umowy – jedną w grupie taryfowej G, drugą w grupach taryfowych ABC)</w:t>
      </w:r>
    </w:p>
    <w:p w14:paraId="5A0ECA1B" w14:textId="77777777" w:rsidR="00636E76" w:rsidRP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636E76">
        <w:rPr>
          <w:rFonts w:ascii="Cambria" w:hAnsi="Cambria"/>
          <w:sz w:val="22"/>
          <w:szCs w:val="22"/>
          <w:u w:val="single"/>
        </w:rPr>
        <w:t>Uwaga:</w:t>
      </w:r>
    </w:p>
    <w:p w14:paraId="24789EDB" w14:textId="6CAA7C54" w:rsidR="00636E76" w:rsidRP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1: Ten sam odbiorca (PESEL) posiada 2 mieszkania, zaopatrzane w energię elektryczną na podstawie 2 umów sprzedaży energii elektrycznej/umowy kompleksowej</w:t>
      </w:r>
      <w:r>
        <w:rPr>
          <w:rFonts w:ascii="Cambria" w:hAnsi="Cambria"/>
          <w:sz w:val="22"/>
          <w:szCs w:val="22"/>
        </w:rPr>
        <w:t xml:space="preserve"> - o</w:t>
      </w:r>
      <w:r w:rsidRPr="00636E76">
        <w:rPr>
          <w:rFonts w:ascii="Cambria" w:hAnsi="Cambria"/>
          <w:sz w:val="22"/>
          <w:szCs w:val="22"/>
        </w:rPr>
        <w:t>dbiorcę (PESEL) liczymy tylko raz: w grupie taryfowej G/gospodarstwa domowe</w:t>
      </w:r>
    </w:p>
    <w:p w14:paraId="4DB8298E" w14:textId="21697B5C" w:rsidR="00636E76" w:rsidRP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Przykład 2: Ten sam odbiorca (PESEL) posiada dom oraz prowadzi działalność rolniczą (bez NIP), z tego tytułu ma dwie odrębne umowy sprzedaży/umowy kompleksowe</w:t>
      </w:r>
      <w:r>
        <w:rPr>
          <w:rFonts w:ascii="Cambria" w:hAnsi="Cambria"/>
          <w:sz w:val="22"/>
          <w:szCs w:val="22"/>
        </w:rPr>
        <w:t xml:space="preserve"> – o</w:t>
      </w:r>
      <w:r w:rsidRPr="00636E76">
        <w:rPr>
          <w:rFonts w:ascii="Cambria" w:hAnsi="Cambria"/>
          <w:sz w:val="22"/>
          <w:szCs w:val="22"/>
        </w:rPr>
        <w:t>dbiorcę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>(PESEL) liczymy 2 razy: 1 w grupie taryfowej G/gospodarstwa domowe,</w:t>
      </w:r>
      <w:r>
        <w:rPr>
          <w:rFonts w:ascii="Cambria" w:hAnsi="Cambria"/>
          <w:sz w:val="22"/>
          <w:szCs w:val="22"/>
        </w:rPr>
        <w:t xml:space="preserve"> </w:t>
      </w:r>
      <w:r w:rsidRPr="00636E76">
        <w:rPr>
          <w:rFonts w:ascii="Cambria" w:hAnsi="Cambria"/>
          <w:sz w:val="22"/>
          <w:szCs w:val="22"/>
        </w:rPr>
        <w:t>1 w grupie taryfowej C.</w:t>
      </w:r>
    </w:p>
    <w:p w14:paraId="73D8CDEA" w14:textId="77777777" w:rsidR="00636E76" w:rsidRPr="009E4F38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270DFE19" w14:textId="77777777" w:rsidR="00C16EA2" w:rsidRDefault="00C16EA2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2991491D" w14:textId="77777777" w:rsid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lastRenderedPageBreak/>
        <w:t>Agregacja według PPE (punktów poboru energii)</w:t>
      </w:r>
    </w:p>
    <w:p w14:paraId="3B696230" w14:textId="66AE424D" w:rsidR="009E4F38" w:rsidRDefault="009E4F38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9E4F38">
        <w:rPr>
          <w:rFonts w:ascii="Cambria" w:hAnsi="Cambria"/>
          <w:sz w:val="22"/>
          <w:szCs w:val="22"/>
        </w:rPr>
        <w:t xml:space="preserve">Punkt poboru energii elektrycznej to punkt pomiarowy w instalacji lub sieci, dla którego dokonuje się rozliczeń oraz dla którego może nastąpić zmiana sprzedawcy. </w:t>
      </w:r>
    </w:p>
    <w:p w14:paraId="17A83928" w14:textId="77777777" w:rsidR="00636E76" w:rsidRDefault="00636E76" w:rsidP="00A6281A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6193483B" w14:textId="77777777" w:rsidR="00DD14E7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Grupy taryfowe – na podstawie </w:t>
      </w:r>
      <w:r w:rsidRPr="00BE3DD5">
        <w:rPr>
          <w:rFonts w:ascii="Cambria" w:hAnsi="Cambria"/>
          <w:sz w:val="22"/>
          <w:szCs w:val="22"/>
        </w:rPr>
        <w:t>Rozporządzeni</w:t>
      </w:r>
      <w:r>
        <w:rPr>
          <w:rFonts w:ascii="Cambria" w:hAnsi="Cambria"/>
          <w:sz w:val="22"/>
          <w:szCs w:val="22"/>
        </w:rPr>
        <w:t>a</w:t>
      </w:r>
      <w:r w:rsidRPr="00BE3DD5">
        <w:rPr>
          <w:rFonts w:ascii="Cambria" w:hAnsi="Cambria"/>
          <w:sz w:val="22"/>
          <w:szCs w:val="22"/>
        </w:rPr>
        <w:t xml:space="preserve"> Ministra Energii z dnia 6 marca 2019 r. w sprawie szczegółowych zasad kształtowania i kalkulacji taryf oraz rozliczeń w obrocie energią elektryczną (Dz. U. z 2019 r., poz. 503)</w:t>
      </w:r>
      <w:r>
        <w:rPr>
          <w:rFonts w:ascii="Cambria" w:hAnsi="Cambria"/>
          <w:sz w:val="22"/>
          <w:szCs w:val="22"/>
        </w:rPr>
        <w:t xml:space="preserve">, dalej: </w:t>
      </w:r>
      <w:r>
        <w:rPr>
          <w:rFonts w:ascii="Cambria" w:hAnsi="Cambria"/>
          <w:i/>
          <w:iCs/>
          <w:sz w:val="22"/>
          <w:szCs w:val="22"/>
        </w:rPr>
        <w:t>rozporządzenie</w:t>
      </w:r>
      <w:r>
        <w:rPr>
          <w:rFonts w:ascii="Cambria" w:hAnsi="Cambria"/>
          <w:sz w:val="22"/>
          <w:szCs w:val="22"/>
        </w:rPr>
        <w:t>:</w:t>
      </w:r>
    </w:p>
    <w:p w14:paraId="6A46F658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A – odbiorca energii elektrycznej jest przyłączony do sieci wysokiego napięcia (WN)</w:t>
      </w:r>
    </w:p>
    <w:p w14:paraId="3F6571EC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B – odbiorca energii elektrycznej jest przyłączony do sieci średniego napięcia (SN)</w:t>
      </w:r>
    </w:p>
    <w:p w14:paraId="31D0506A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C – odbiorca energii elektrycznej jest przyłączony do sieci niskiego napięcia (NN)</w:t>
      </w:r>
    </w:p>
    <w:p w14:paraId="1FA9B8A5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G – odbiorcy wymienieni w</w:t>
      </w:r>
      <w:r w:rsidRPr="00BE3DD5">
        <w:rPr>
          <w:rFonts w:ascii="Cambria" w:hAnsi="Cambria"/>
          <w:sz w:val="22"/>
          <w:szCs w:val="22"/>
        </w:rPr>
        <w:t>§ 6 ust. 1 pkt 5 ww. rozporządzenia</w:t>
      </w:r>
    </w:p>
    <w:p w14:paraId="4D1D4604" w14:textId="77777777" w:rsidR="00DD14E7" w:rsidRPr="00636E76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R – odbiorcy, dla których stosuje się stawki opłat stosowane w rozliczeniach z Taryfą R doliczane są do danych podawanych dla taryfy G.</w:t>
      </w:r>
    </w:p>
    <w:p w14:paraId="7713EA81" w14:textId="77777777" w:rsidR="00DD14E7" w:rsidRPr="009E4F38" w:rsidRDefault="00DD14E7" w:rsidP="00DD14E7">
      <w:pPr>
        <w:pStyle w:val="Teksttreci1"/>
        <w:spacing w:before="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Gospodarstwa domowe – wyodrębniona dana uwzględniająca tą część grupy taryfowej G, która dotyczy wyłącznie odbiorców końcowych z gospodarstw domowych.</w:t>
      </w:r>
    </w:p>
    <w:p w14:paraId="4BA24E34" w14:textId="77777777" w:rsidR="00DD14E7" w:rsidRDefault="00DD14E7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</w:p>
    <w:p w14:paraId="19D3FA33" w14:textId="7C11A2DF" w:rsidR="00636E76" w:rsidRPr="00636E76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 w:rsidRPr="00636E76">
        <w:rPr>
          <w:rFonts w:ascii="Cambria" w:hAnsi="Cambria"/>
          <w:sz w:val="22"/>
          <w:szCs w:val="22"/>
        </w:rPr>
        <w:t>Podział według zużycia energii energetycznej:</w:t>
      </w:r>
    </w:p>
    <w:p w14:paraId="74324546" w14:textId="12D80E6F" w:rsidR="00636E76" w:rsidRPr="00636E76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636E76">
        <w:rPr>
          <w:rFonts w:ascii="Cambria" w:hAnsi="Cambria"/>
          <w:sz w:val="22"/>
          <w:szCs w:val="22"/>
        </w:rPr>
        <w:t>zużycie powyżej 2 000 MWh</w:t>
      </w:r>
    </w:p>
    <w:p w14:paraId="47988AF6" w14:textId="0E61F50C" w:rsidR="00636E76" w:rsidRPr="00636E76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636E76">
        <w:rPr>
          <w:rFonts w:ascii="Cambria" w:hAnsi="Cambria"/>
          <w:sz w:val="22"/>
          <w:szCs w:val="22"/>
        </w:rPr>
        <w:t>zużycie w przedziale 50 - 2 000 MWh</w:t>
      </w:r>
    </w:p>
    <w:p w14:paraId="4E6744CE" w14:textId="7D57ABF2" w:rsidR="00636E76" w:rsidRPr="00B4725A" w:rsidRDefault="00636E76" w:rsidP="00A6281A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636E76">
        <w:rPr>
          <w:rFonts w:ascii="Cambria" w:hAnsi="Cambria"/>
          <w:sz w:val="22"/>
          <w:szCs w:val="22"/>
        </w:rPr>
        <w:t>zużycie mniejsze niż 50 MWh</w:t>
      </w:r>
    </w:p>
    <w:p w14:paraId="54A7F3DA" w14:textId="6BA2636D" w:rsidR="008C47EF" w:rsidRPr="00743F03" w:rsidRDefault="00BA3FC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8C47EF" w:rsidRPr="00743F0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Liczba aktywnych sprzedawców – GUD/GUD-k</w:t>
      </w:r>
      <w:r w:rsidRPr="00743F03">
        <w:rPr>
          <w:rStyle w:val="Teksttreci"/>
          <w:rFonts w:ascii="Cambria" w:hAnsi="Cambria"/>
          <w:color w:val="000000"/>
          <w:sz w:val="22"/>
          <w:szCs w:val="22"/>
        </w:rPr>
        <w:t xml:space="preserve"> : </w:t>
      </w:r>
      <w:r w:rsidR="008C47EF" w:rsidRPr="00743F03">
        <w:rPr>
          <w:rFonts w:ascii="Cambria" w:hAnsi="Cambria"/>
          <w:color w:val="000000"/>
          <w:sz w:val="22"/>
          <w:szCs w:val="22"/>
        </w:rPr>
        <w:t>Aktywny sprzedawca (według GUD/GUD-k) – to sprzedawca energii elektrycznej posiadający podpisaną z OSD umowę GUD lub GUD-k – według stanu na dzień 31.12.2021 r.</w:t>
      </w:r>
    </w:p>
    <w:p w14:paraId="012CB4D7" w14:textId="47F21C97" w:rsidR="008C47EF" w:rsidRPr="001E422F" w:rsidRDefault="008C47EF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743F03">
        <w:rPr>
          <w:rStyle w:val="Teksttreci"/>
          <w:rFonts w:ascii="Cambria" w:hAnsi="Cambria"/>
          <w:sz w:val="22"/>
          <w:szCs w:val="22"/>
        </w:rPr>
        <w:t xml:space="preserve">Formularz: </w:t>
      </w:r>
      <w:r w:rsidRPr="00743F03">
        <w:rPr>
          <w:rStyle w:val="Teksttreci"/>
          <w:rFonts w:ascii="Cambria" w:hAnsi="Cambria"/>
          <w:i/>
          <w:iCs/>
          <w:sz w:val="22"/>
          <w:szCs w:val="22"/>
        </w:rPr>
        <w:t xml:space="preserve">Liczba aktywnych sprzedawców – odbiorcy: </w:t>
      </w:r>
      <w:r w:rsidRPr="00743F03">
        <w:rPr>
          <w:rFonts w:ascii="Cambria" w:hAnsi="Cambria"/>
          <w:sz w:val="22"/>
          <w:szCs w:val="22"/>
        </w:rPr>
        <w:t>Aktywny sprzedawca (realna dostawa</w:t>
      </w:r>
      <w:r w:rsidRPr="00D34BCE">
        <w:rPr>
          <w:rFonts w:ascii="Cambria" w:hAnsi="Cambria"/>
          <w:sz w:val="22"/>
          <w:szCs w:val="22"/>
        </w:rPr>
        <w:t>)</w:t>
      </w:r>
      <w:r w:rsidRPr="001E422F">
        <w:rPr>
          <w:rFonts w:ascii="Cambria" w:hAnsi="Cambria"/>
          <w:b/>
          <w:bCs/>
          <w:sz w:val="22"/>
          <w:szCs w:val="22"/>
        </w:rPr>
        <w:t xml:space="preserve"> </w:t>
      </w:r>
      <w:r w:rsidRPr="001E422F">
        <w:rPr>
          <w:rFonts w:ascii="Cambria" w:hAnsi="Cambria"/>
          <w:sz w:val="22"/>
          <w:szCs w:val="22"/>
        </w:rPr>
        <w:t>– to sprzedawca energii elektrycznej posiadający na sieci OSD przynajmniej jednego odbiorcę, któremu sprzedaje energię elektryczną – według stanu na dzień</w:t>
      </w:r>
      <w:r w:rsidR="00A6281A">
        <w:rPr>
          <w:rFonts w:ascii="Cambria" w:hAnsi="Cambria"/>
          <w:sz w:val="22"/>
          <w:szCs w:val="22"/>
        </w:rPr>
        <w:t xml:space="preserve"> </w:t>
      </w:r>
      <w:r w:rsidRPr="001E422F">
        <w:rPr>
          <w:rFonts w:ascii="Cambria" w:hAnsi="Cambria"/>
          <w:sz w:val="22"/>
          <w:szCs w:val="22"/>
        </w:rPr>
        <w:t>31.12.2021 r.</w:t>
      </w:r>
    </w:p>
    <w:p w14:paraId="5E091C2A" w14:textId="75E5A601" w:rsidR="008C47E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Wejścia sprzedawców – GUD/GUD-k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podpisał z OSD umowę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GUD/GUD-k w okresie sprawozdawczym</w:t>
      </w:r>
    </w:p>
    <w:p w14:paraId="2BA25299" w14:textId="457A0A30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Wyjścia sprzedawców – GUD/GUD-k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rozwiązał z OSD umowę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GUD/GUD-k  w okresie sprawozdawczym</w:t>
      </w:r>
    </w:p>
    <w:p w14:paraId="0C4B56BD" w14:textId="5C6C6560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Wejścia sprzedawców – odbiorcy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 w:rsidRPr="00743F03"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rozpoczął sprzedaż energii elektrycznej w okresie sprawozdawczym</w:t>
      </w:r>
    </w:p>
    <w:p w14:paraId="414B4376" w14:textId="138390A2" w:rsidR="001E422F" w:rsidRPr="00743F03" w:rsidRDefault="001E422F" w:rsidP="00743F0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Wyjścia sprzedawców – odbiorcy</w:t>
      </w:r>
      <w:r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43F03" w:rsidRPr="00743F03"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>sprzedawca, który zaprzestał</w:t>
      </w:r>
      <w:r w:rsidR="00743F03">
        <w:rPr>
          <w:rFonts w:ascii="Cambria" w:hAnsi="Cambria"/>
          <w:color w:val="000000"/>
          <w:sz w:val="22"/>
          <w:szCs w:val="22"/>
        </w:rPr>
        <w:t xml:space="preserve"> </w:t>
      </w:r>
      <w:r w:rsidR="00743F03" w:rsidRPr="00743F03">
        <w:rPr>
          <w:rFonts w:ascii="Cambria" w:hAnsi="Cambria"/>
          <w:color w:val="000000"/>
          <w:sz w:val="22"/>
          <w:szCs w:val="22"/>
        </w:rPr>
        <w:t xml:space="preserve">sprzedaży w </w:t>
      </w:r>
      <w:r w:rsidR="00743F03" w:rsidRPr="00743F03">
        <w:rPr>
          <w:rFonts w:ascii="Cambria" w:hAnsi="Cambria"/>
          <w:color w:val="000000"/>
          <w:sz w:val="22"/>
          <w:szCs w:val="22"/>
        </w:rPr>
        <w:lastRenderedPageBreak/>
        <w:t>okresie sprawozdawczym</w:t>
      </w:r>
    </w:p>
    <w:p w14:paraId="05EA37AA" w14:textId="0C8E6120" w:rsidR="005E44F7" w:rsidRPr="00803586" w:rsidRDefault="005E44F7" w:rsidP="005E44F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"/>
          <w:rFonts w:ascii="Cambria" w:hAnsi="Cambria"/>
          <w:color w:val="000000"/>
          <w:sz w:val="22"/>
          <w:szCs w:val="22"/>
        </w:rPr>
        <w:t>O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>dbiorcy nieaktywni w ciągu 3 ostatnich lat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– przez odbiorców nieaktywnych w ciągu 3 ostatnich lat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w ciągu ostatnich 3 lat tj.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co najmniej 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>od 1 stycznia 2019 r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. byli odbiorcami na sieci OSD i od 1 stycznia 2019 r. 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 xml:space="preserve"> nie dokonali zmiany sprzedawcy </w:t>
      </w:r>
      <w:r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Pr="007E7189">
        <w:rPr>
          <w:rStyle w:val="Teksttreci"/>
          <w:rFonts w:ascii="Cambria" w:hAnsi="Cambria"/>
          <w:color w:val="000000"/>
          <w:sz w:val="22"/>
          <w:szCs w:val="22"/>
        </w:rPr>
        <w:t>. Pytanie służy ocenie stopnia aktywności odbiorców w podziale na grupy taryfowe.</w:t>
      </w:r>
    </w:p>
    <w:p w14:paraId="05661E1F" w14:textId="77777777" w:rsidR="005E44F7" w:rsidRPr="00D0598D" w:rsidRDefault="005E44F7" w:rsidP="005E44F7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odbiorców, którzy od momentu przyłączenia do sieci OSD nie zmienili sprzedawcy (odbiorcy nieaktywni)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rozumie się odbiorców, którzy od momentu przyłączenia do sieci OSD pozostają u tego samego sprzedawcy.</w:t>
      </w:r>
    </w:p>
    <w:p w14:paraId="09D3D7BD" w14:textId="77777777" w:rsidR="00D34BCE" w:rsidRDefault="00D0598D" w:rsidP="00D34BCE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przez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należy wskazać liczbę odbiorców/układów pomiarowych odbiorców, którym wstrzymano dostawy energii elektrycznej bez względu na powód wstrzymania (np. nielegalny pobór energii elektrycznej, zaległości w zapłacie, zagrożenia dla środowiska etc).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="00D34BCE">
        <w:rPr>
          <w:rFonts w:ascii="Cambria" w:hAnsi="Cambria"/>
          <w:i/>
          <w:iCs/>
          <w:sz w:val="22"/>
          <w:szCs w:val="22"/>
        </w:rPr>
        <w:t xml:space="preserve"> </w:t>
      </w:r>
      <w:r w:rsidR="00D34BCE">
        <w:rPr>
          <w:rFonts w:ascii="Cambria" w:hAnsi="Cambria"/>
          <w:sz w:val="22"/>
          <w:szCs w:val="22"/>
        </w:rPr>
        <w:t xml:space="preserve"> </w:t>
      </w:r>
    </w:p>
    <w:p w14:paraId="45D1B102" w14:textId="4966DA5C" w:rsidR="00D34BCE" w:rsidRPr="00D34BCE" w:rsidRDefault="00D34BCE" w:rsidP="00D34BCE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UWAGA: Zgodnie z art. 6b ust. 1 uPe „Przedsiębiorstwo energetyczne wykonujące działalność gospodarczą w zakresie przesyłania lub dystrybucji paliw gazowych lub energii może wstrzymać, z zastrzeżeniem art. 6c, dostarczanie paliw gazowych lub energii, jeżeli:</w:t>
      </w:r>
    </w:p>
    <w:p w14:paraId="3EDD8DC5" w14:textId="77777777" w:rsidR="00D34BCE" w:rsidRDefault="00D34BCE" w:rsidP="00D34BCE">
      <w:pPr>
        <w:pStyle w:val="Teksttreci1"/>
        <w:numPr>
          <w:ilvl w:val="0"/>
          <w:numId w:val="11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 xml:space="preserve">w wyniku przeprowadzonej kontroli stwierdzono, że nastąpiło nielegalne pobieranie paliw lub energii; </w:t>
      </w:r>
    </w:p>
    <w:p w14:paraId="0945458C" w14:textId="466296FB" w:rsidR="00D34BCE" w:rsidRDefault="00D34BCE" w:rsidP="00D34BCE">
      <w:pPr>
        <w:pStyle w:val="Teksttreci1"/>
        <w:numPr>
          <w:ilvl w:val="0"/>
          <w:numId w:val="11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D34BCE">
        <w:rPr>
          <w:rFonts w:ascii="Cambria" w:hAnsi="Cambria"/>
          <w:sz w:val="22"/>
          <w:szCs w:val="22"/>
        </w:rPr>
        <w:t>odbiorca zwleka z zapłatą za świadczone usługi, co najmniej przez okres 30 dni po upływie terminu płatności.</w:t>
      </w:r>
    </w:p>
    <w:p w14:paraId="14AA1BE0" w14:textId="2A547654" w:rsidR="00D34BCE" w:rsidRPr="00D34BCE" w:rsidRDefault="00D34BCE" w:rsidP="00D34BCE">
      <w:pPr>
        <w:pStyle w:val="Teksttreci1"/>
        <w:shd w:val="clear" w:color="auto" w:fill="auto"/>
        <w:spacing w:before="0" w:after="120" w:line="360" w:lineRule="auto"/>
        <w:ind w:left="360" w:firstLine="0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>do wstrzymania dostaw</w:t>
      </w:r>
      <w:r>
        <w:rPr>
          <w:rFonts w:ascii="Cambria" w:hAnsi="Cambria"/>
          <w:sz w:val="22"/>
          <w:szCs w:val="22"/>
        </w:rPr>
        <w:t xml:space="preserve"> nie</w:t>
      </w:r>
      <w:r w:rsidRPr="00D34BCE">
        <w:rPr>
          <w:rFonts w:ascii="Cambria" w:hAnsi="Cambria"/>
          <w:sz w:val="22"/>
          <w:szCs w:val="22"/>
        </w:rPr>
        <w:t xml:space="preserve"> wliczają się przerwy z tytułu np. awarii sieci</w:t>
      </w:r>
      <w:r>
        <w:rPr>
          <w:rFonts w:ascii="Cambria" w:hAnsi="Cambria"/>
          <w:sz w:val="22"/>
          <w:szCs w:val="22"/>
        </w:rPr>
        <w:t>.</w:t>
      </w:r>
    </w:p>
    <w:p w14:paraId="582F09FB" w14:textId="3B70F7CC" w:rsidR="00D0598D" w:rsidRPr="00FB08C5" w:rsidRDefault="00D0598D" w:rsidP="00D0598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pobraną energię elektryczną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energii elektrycznej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energii elektrycznej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ą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energię elektryczną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energii elektrycznej.</w:t>
      </w:r>
    </w:p>
    <w:p w14:paraId="61EE17BA" w14:textId="77DF33C2" w:rsidR="00D0598D" w:rsidRDefault="005A3A2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liczniki przedpłatowe –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należy podać </w:t>
      </w:r>
      <w:r w:rsidRPr="005A3A21">
        <w:rPr>
          <w:rFonts w:ascii="Cambria" w:hAnsi="Cambria"/>
          <w:sz w:val="22"/>
          <w:szCs w:val="22"/>
        </w:rPr>
        <w:t>liczb</w:t>
      </w:r>
      <w:r>
        <w:rPr>
          <w:rFonts w:ascii="Cambria" w:hAnsi="Cambria"/>
          <w:sz w:val="22"/>
          <w:szCs w:val="22"/>
        </w:rPr>
        <w:t>ę</w:t>
      </w:r>
      <w:r w:rsidRPr="005A3A21">
        <w:rPr>
          <w:rFonts w:ascii="Cambria" w:hAnsi="Cambria"/>
          <w:sz w:val="22"/>
          <w:szCs w:val="22"/>
        </w:rPr>
        <w:t xml:space="preserve"> odbiorców</w:t>
      </w:r>
      <w:r>
        <w:rPr>
          <w:rFonts w:ascii="Cambria" w:hAnsi="Cambria"/>
          <w:sz w:val="22"/>
          <w:szCs w:val="22"/>
        </w:rPr>
        <w:t>/liczbę PPE</w:t>
      </w:r>
      <w:r w:rsidRPr="005A3A21">
        <w:rPr>
          <w:rFonts w:ascii="Cambria" w:hAnsi="Cambria"/>
          <w:sz w:val="22"/>
          <w:szCs w:val="22"/>
        </w:rPr>
        <w:t>, którzy faktycznie korzystają z liczników przedpłatowych energii elektrycznej.</w:t>
      </w:r>
    </w:p>
    <w:p w14:paraId="701B46C6" w14:textId="1D8181E0" w:rsidR="00C0256E" w:rsidRPr="00AF159B" w:rsidRDefault="00CF4AA0" w:rsidP="000D73D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5" w:firstLine="0"/>
        <w:jc w:val="both"/>
        <w:rPr>
          <w:rFonts w:ascii="Cambria" w:hAnsi="Cambria"/>
          <w:sz w:val="22"/>
          <w:szCs w:val="22"/>
        </w:rPr>
      </w:pPr>
      <w:r w:rsidRPr="00AF159B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AF159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liczniki inteligentne – </w:t>
      </w:r>
      <w:bookmarkStart w:id="1" w:name="_GoBack"/>
      <w:bookmarkEnd w:id="1"/>
      <w:r w:rsidR="00E929C9" w:rsidRPr="00AF159B">
        <w:rPr>
          <w:rFonts w:ascii="Cambria" w:hAnsi="Cambria"/>
          <w:sz w:val="22"/>
          <w:szCs w:val="22"/>
        </w:rPr>
        <w:t>Licznik zdalnego odczytu - z</w:t>
      </w:r>
      <w:r w:rsidR="00A6281A" w:rsidRPr="00AF159B">
        <w:rPr>
          <w:rFonts w:ascii="Cambria" w:hAnsi="Cambria"/>
          <w:sz w:val="22"/>
          <w:szCs w:val="22"/>
        </w:rPr>
        <w:t>godnie z art. 3 pkt 64 uPe</w:t>
      </w:r>
      <w:r w:rsidR="00C0256E" w:rsidRPr="00AF159B">
        <w:rPr>
          <w:rFonts w:ascii="Cambria" w:hAnsi="Cambria"/>
          <w:sz w:val="22"/>
          <w:szCs w:val="22"/>
        </w:rPr>
        <w:t xml:space="preserve"> licznik zdalnego odczytu to przyrząd pomiarowy w rozumieniu art. 4 pkt 5 ustawy z dnia 11 maja 2001 r. – Prawo o miarach (Dz. U. z 2020 r. poz. 2166 oraz z 2021 r. poz. 1093), służący do pomiaru energii elektrycznej i rozliczeń za tę energię, wyposażony w funkcję komunikacji z systemem zdalnego odczytu</w:t>
      </w:r>
    </w:p>
    <w:p w14:paraId="6DC45F1D" w14:textId="2452ECFF" w:rsidR="00764BBF" w:rsidRDefault="00F5011F" w:rsidP="002E6DC8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64BBF">
        <w:rPr>
          <w:rStyle w:val="Teksttreci"/>
          <w:rFonts w:ascii="Cambria" w:hAnsi="Cambria"/>
          <w:color w:val="000000"/>
          <w:sz w:val="22"/>
          <w:szCs w:val="22"/>
        </w:rPr>
        <w:lastRenderedPageBreak/>
        <w:t xml:space="preserve">Formularz: </w:t>
      </w:r>
      <w:r w:rsidRP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sprzedaż rezerwowa – </w:t>
      </w:r>
      <w:r w:rsidRPr="00764BB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764BBF">
        <w:rPr>
          <w:rFonts w:ascii="Cambria" w:hAnsi="Cambria"/>
          <w:sz w:val="22"/>
          <w:szCs w:val="22"/>
        </w:rPr>
        <w:t xml:space="preserve"> odbiorców/PPE, dla których operatorzy systemów </w:t>
      </w:r>
      <w:r w:rsidR="00764BBF" w:rsidRPr="00F5011F">
        <w:rPr>
          <w:rFonts w:ascii="Cambria" w:hAnsi="Cambria"/>
          <w:sz w:val="22"/>
          <w:szCs w:val="22"/>
        </w:rPr>
        <w:t xml:space="preserve">operatorzy systemów dystrybucyjnych w okresie sprawozdawczym uruchomili </w:t>
      </w:r>
      <w:r w:rsidR="00764BBF" w:rsidRPr="003B74B3">
        <w:rPr>
          <w:rFonts w:ascii="Cambria" w:hAnsi="Cambria"/>
          <w:b/>
          <w:sz w:val="22"/>
          <w:szCs w:val="22"/>
        </w:rPr>
        <w:t xml:space="preserve">sprzedaż rezerwową (art. 5aa </w:t>
      </w:r>
      <w:r w:rsidR="00764BBF">
        <w:rPr>
          <w:rFonts w:ascii="Cambria" w:hAnsi="Cambria"/>
          <w:b/>
          <w:sz w:val="22"/>
          <w:szCs w:val="22"/>
        </w:rPr>
        <w:t>uPe</w:t>
      </w:r>
      <w:r w:rsidR="00764BBF" w:rsidRPr="003B74B3">
        <w:rPr>
          <w:rFonts w:ascii="Cambria" w:hAnsi="Cambria"/>
          <w:b/>
          <w:sz w:val="22"/>
          <w:szCs w:val="22"/>
        </w:rPr>
        <w:t>) lub sprzedaż z urzędu (5ab</w:t>
      </w:r>
      <w:r w:rsidR="00764BBF">
        <w:rPr>
          <w:rFonts w:ascii="Cambria" w:hAnsi="Cambria"/>
          <w:b/>
          <w:sz w:val="22"/>
          <w:szCs w:val="22"/>
        </w:rPr>
        <w:t xml:space="preserve"> uPe</w:t>
      </w:r>
      <w:r w:rsidR="00764BBF" w:rsidRPr="003B74B3">
        <w:rPr>
          <w:rFonts w:ascii="Cambria" w:hAnsi="Cambria"/>
          <w:b/>
          <w:sz w:val="22"/>
          <w:szCs w:val="22"/>
        </w:rPr>
        <w:t>)</w:t>
      </w:r>
      <w:r w:rsidR="00764BBF" w:rsidRPr="00F5011F">
        <w:rPr>
          <w:rFonts w:ascii="Cambria" w:hAnsi="Cambria"/>
          <w:sz w:val="22"/>
          <w:szCs w:val="22"/>
        </w:rPr>
        <w:t xml:space="preserve"> w celu zapewnia ciągłość dostarczania </w:t>
      </w:r>
      <w:r w:rsidR="00764BBF">
        <w:rPr>
          <w:rFonts w:ascii="Cambria" w:hAnsi="Cambria"/>
          <w:sz w:val="22"/>
          <w:szCs w:val="22"/>
        </w:rPr>
        <w:t xml:space="preserve">energii elektrycznej </w:t>
      </w:r>
      <w:r w:rsidR="00764BBF" w:rsidRPr="00F5011F">
        <w:rPr>
          <w:rFonts w:ascii="Cambria" w:hAnsi="Cambria"/>
          <w:sz w:val="22"/>
          <w:szCs w:val="22"/>
        </w:rPr>
        <w:t xml:space="preserve">"w przypadku zaprzestania dostarczania </w:t>
      </w:r>
      <w:r w:rsidR="00764BBF">
        <w:rPr>
          <w:rFonts w:ascii="Cambria" w:hAnsi="Cambria"/>
          <w:sz w:val="22"/>
          <w:szCs w:val="22"/>
        </w:rPr>
        <w:t>energii elektrycznej</w:t>
      </w:r>
      <w:r w:rsidR="00764BBF" w:rsidRPr="00F5011F">
        <w:rPr>
          <w:rFonts w:ascii="Cambria" w:hAnsi="Cambria"/>
          <w:sz w:val="22"/>
          <w:szCs w:val="22"/>
        </w:rPr>
        <w:t xml:space="preserve"> przez wybranego przez odbiorcę sprzedawcę"</w:t>
      </w:r>
      <w:r w:rsidR="00764BBF">
        <w:rPr>
          <w:rFonts w:ascii="Cambria" w:hAnsi="Cambria"/>
          <w:sz w:val="22"/>
          <w:szCs w:val="22"/>
        </w:rPr>
        <w:t xml:space="preserve">. </w:t>
      </w:r>
    </w:p>
    <w:p w14:paraId="2CDAA3F6" w14:textId="66CA3AC2" w:rsidR="0055146D" w:rsidRPr="00764BBF" w:rsidRDefault="0055146D" w:rsidP="00764BBF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764BB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Dane rynkowe - odbiorcy u sprzedawcy zasiedziałego</w:t>
      </w:r>
      <w:r w:rsid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/ z urzędu</w:t>
      </w:r>
      <w:r w:rsidRPr="00764BB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764BB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764BBF">
        <w:rPr>
          <w:rFonts w:ascii="Cambria" w:hAnsi="Cambria"/>
          <w:sz w:val="22"/>
          <w:szCs w:val="22"/>
        </w:rPr>
        <w:t xml:space="preserve"> odbiorców/PPE, którzy mają podpisane umowy na sprzedaż energii elektrycznej/umowy kompleksowe ze sprzedawcą zasiedziałym – stan na koniec okresu sprawozdawczego oraz sprzedany wolumen energii elektrycznej w ramach tej sprzedaży w okresie sprawozdawczym (tylko wolumen w ramach sprzedaży u sprzedawcy zasiedziałego w okresie sprawozdawczym).</w:t>
      </w:r>
      <w:r w:rsidR="00764BBF">
        <w:rPr>
          <w:rFonts w:ascii="Cambria" w:hAnsi="Cambria"/>
          <w:sz w:val="22"/>
          <w:szCs w:val="22"/>
        </w:rPr>
        <w:t xml:space="preserve"> </w:t>
      </w:r>
      <w:r w:rsidR="00764BBF" w:rsidRPr="004963C3">
        <w:rPr>
          <w:rFonts w:ascii="Cambria" w:hAnsi="Cambria"/>
          <w:b/>
          <w:color w:val="000000"/>
          <w:sz w:val="22"/>
          <w:szCs w:val="22"/>
        </w:rPr>
        <w:t>UWAGA:</w:t>
      </w:r>
      <w:r w:rsidR="00764BBF" w:rsidRPr="004963C3">
        <w:rPr>
          <w:rStyle w:val="Teksttreci"/>
          <w:rFonts w:ascii="Cambria" w:hAnsi="Cambria"/>
          <w:b/>
          <w:iCs/>
          <w:color w:val="000000"/>
          <w:sz w:val="22"/>
          <w:szCs w:val="22"/>
        </w:rPr>
        <w:t xml:space="preserve"> nie dotyczy 5ab uPe.</w:t>
      </w:r>
    </w:p>
    <w:p w14:paraId="7E0B8C05" w14:textId="77777777" w:rsidR="00764BBF" w:rsidRPr="006D33F4" w:rsidRDefault="00764BBF" w:rsidP="00764BBF">
      <w:pPr>
        <w:pStyle w:val="Teksttreci1"/>
        <w:spacing w:before="0" w:after="12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UWAGA: </w:t>
      </w:r>
      <w:r w:rsidRPr="00D34BCE">
        <w:rPr>
          <w:rFonts w:ascii="Cambria" w:hAnsi="Cambria"/>
          <w:sz w:val="22"/>
          <w:szCs w:val="22"/>
        </w:rPr>
        <w:t xml:space="preserve">Sprzedawca zasiedziały to sprzedawca </w:t>
      </w:r>
      <w:r>
        <w:rPr>
          <w:rFonts w:ascii="Cambria" w:hAnsi="Cambria"/>
          <w:sz w:val="22"/>
          <w:szCs w:val="22"/>
        </w:rPr>
        <w:t>„</w:t>
      </w:r>
      <w:r w:rsidRPr="00D34BCE">
        <w:rPr>
          <w:rFonts w:ascii="Cambria" w:hAnsi="Cambria"/>
          <w:sz w:val="22"/>
          <w:szCs w:val="22"/>
        </w:rPr>
        <w:t>historyczny</w:t>
      </w:r>
      <w:r>
        <w:rPr>
          <w:rFonts w:ascii="Cambria" w:hAnsi="Cambria"/>
          <w:sz w:val="22"/>
          <w:szCs w:val="22"/>
        </w:rPr>
        <w:t>”</w:t>
      </w:r>
      <w:r w:rsidRPr="00D34BCE">
        <w:rPr>
          <w:rFonts w:ascii="Cambria" w:hAnsi="Cambria"/>
          <w:sz w:val="22"/>
          <w:szCs w:val="22"/>
        </w:rPr>
        <w:t xml:space="preserve"> działający </w:t>
      </w:r>
      <w:r>
        <w:rPr>
          <w:rFonts w:ascii="Cambria" w:hAnsi="Cambria"/>
          <w:sz w:val="22"/>
          <w:szCs w:val="22"/>
        </w:rPr>
        <w:t>na terenie danego OSD, a więc również OSD</w:t>
      </w:r>
      <w:r w:rsidRPr="00D34BCE">
        <w:rPr>
          <w:rFonts w:ascii="Cambria" w:hAnsi="Cambria"/>
          <w:sz w:val="22"/>
          <w:szCs w:val="22"/>
        </w:rPr>
        <w:t>, będący równocześnie sprzedawcą</w:t>
      </w:r>
      <w:r>
        <w:rPr>
          <w:rFonts w:ascii="Cambria" w:hAnsi="Cambria"/>
          <w:sz w:val="22"/>
          <w:szCs w:val="22"/>
        </w:rPr>
        <w:t xml:space="preserve"> (przedsiębiorstwo zintegrowane pionowo niepodlegające unbundlingowi)</w:t>
      </w:r>
      <w:r w:rsidRPr="00D34BCE">
        <w:rPr>
          <w:rFonts w:ascii="Cambria" w:hAnsi="Cambria"/>
          <w:sz w:val="22"/>
          <w:szCs w:val="22"/>
        </w:rPr>
        <w:t>.</w:t>
      </w:r>
    </w:p>
    <w:p w14:paraId="5AD0EFB4" w14:textId="49F283E3" w:rsidR="0055146D" w:rsidRPr="00764BBF" w:rsidRDefault="0055146D" w:rsidP="00764BBF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odbiorcy u sprzedawcy innego niż zasiedziały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</w:t>
      </w:r>
      <w:r w:rsidRPr="00F5011F">
        <w:rPr>
          <w:rStyle w:val="Teksttreci"/>
          <w:rFonts w:ascii="Cambria" w:hAnsi="Cambria"/>
          <w:color w:val="000000"/>
          <w:sz w:val="22"/>
          <w:szCs w:val="22"/>
        </w:rPr>
        <w:t>należy podać liczbę</w:t>
      </w:r>
      <w:r w:rsidRPr="00F5011F">
        <w:rPr>
          <w:rFonts w:ascii="Cambria" w:hAnsi="Cambria"/>
          <w:sz w:val="22"/>
          <w:szCs w:val="22"/>
        </w:rPr>
        <w:t xml:space="preserve"> odbiorców/PP</w:t>
      </w:r>
      <w:r>
        <w:rPr>
          <w:rFonts w:ascii="Cambria" w:hAnsi="Cambria"/>
          <w:sz w:val="22"/>
          <w:szCs w:val="22"/>
        </w:rPr>
        <w:t>E</w:t>
      </w:r>
      <w:r w:rsidRPr="00785C27">
        <w:rPr>
          <w:rFonts w:ascii="Cambria" w:hAnsi="Cambria"/>
          <w:sz w:val="22"/>
          <w:szCs w:val="22"/>
        </w:rPr>
        <w:t xml:space="preserve">, którzy mają podpisane umowy na sprzedaż energii elektrycznej/umowy kompleksowe ze sprzedawcą </w:t>
      </w:r>
      <w:r>
        <w:rPr>
          <w:rFonts w:ascii="Cambria" w:hAnsi="Cambria"/>
          <w:sz w:val="22"/>
          <w:szCs w:val="22"/>
        </w:rPr>
        <w:t xml:space="preserve">innym niż </w:t>
      </w:r>
      <w:r w:rsidRPr="00785C27">
        <w:rPr>
          <w:rFonts w:ascii="Cambria" w:hAnsi="Cambria"/>
          <w:sz w:val="22"/>
          <w:szCs w:val="22"/>
        </w:rPr>
        <w:t>zasiedziały – stan na koniec okresu sprawozdawczego</w:t>
      </w:r>
      <w:r>
        <w:rPr>
          <w:rFonts w:ascii="Cambria" w:hAnsi="Cambria"/>
          <w:sz w:val="22"/>
          <w:szCs w:val="22"/>
        </w:rPr>
        <w:t xml:space="preserve"> </w:t>
      </w:r>
      <w:r w:rsidRPr="00F5011F">
        <w:rPr>
          <w:rFonts w:ascii="Cambria" w:hAnsi="Cambria"/>
          <w:sz w:val="22"/>
          <w:szCs w:val="22"/>
        </w:rPr>
        <w:t xml:space="preserve">oraz sprzedany wolumen energii elektrycznej w ramach </w:t>
      </w:r>
      <w:r>
        <w:rPr>
          <w:rFonts w:ascii="Cambria" w:hAnsi="Cambria"/>
          <w:sz w:val="22"/>
          <w:szCs w:val="22"/>
        </w:rPr>
        <w:t>tej sprzedaży</w:t>
      </w:r>
      <w:r w:rsidRPr="00F5011F">
        <w:rPr>
          <w:rFonts w:ascii="Cambria" w:hAnsi="Cambria"/>
          <w:sz w:val="22"/>
          <w:szCs w:val="22"/>
        </w:rPr>
        <w:t xml:space="preserve"> w okresie sprawozdawczym</w:t>
      </w:r>
      <w:r>
        <w:rPr>
          <w:rFonts w:ascii="Cambria" w:hAnsi="Cambria"/>
          <w:sz w:val="22"/>
          <w:szCs w:val="22"/>
        </w:rPr>
        <w:t xml:space="preserve"> (tylko wolumen w ramach sprzedaży u sprzedawcy innego niż zasiedziały w okresie sprawozdawczym)</w:t>
      </w:r>
      <w:r w:rsidRPr="00F5011F">
        <w:rPr>
          <w:rFonts w:ascii="Cambria" w:hAnsi="Cambria"/>
          <w:sz w:val="22"/>
          <w:szCs w:val="22"/>
        </w:rPr>
        <w:t>.</w:t>
      </w:r>
      <w:r w:rsidR="00764BBF">
        <w:rPr>
          <w:rFonts w:ascii="Cambria" w:hAnsi="Cambria"/>
          <w:sz w:val="22"/>
          <w:szCs w:val="22"/>
        </w:rPr>
        <w:t xml:space="preserve"> </w:t>
      </w:r>
      <w:r w:rsidR="00764BBF" w:rsidRPr="004963C3">
        <w:rPr>
          <w:rFonts w:ascii="Cambria" w:hAnsi="Cambria"/>
          <w:b/>
          <w:color w:val="000000"/>
          <w:sz w:val="22"/>
          <w:szCs w:val="22"/>
        </w:rPr>
        <w:t>UWAGA:</w:t>
      </w:r>
      <w:r w:rsidR="00764BBF" w:rsidRPr="004963C3">
        <w:rPr>
          <w:rStyle w:val="Teksttreci"/>
          <w:rFonts w:ascii="Cambria" w:hAnsi="Cambria"/>
          <w:b/>
          <w:iCs/>
          <w:color w:val="000000"/>
          <w:sz w:val="22"/>
          <w:szCs w:val="22"/>
        </w:rPr>
        <w:t xml:space="preserve"> nie dotyczy 5ab uPe.</w:t>
      </w:r>
    </w:p>
    <w:p w14:paraId="47242971" w14:textId="77777777" w:rsidR="00764BBF" w:rsidRPr="006B6B63" w:rsidRDefault="00764BBF" w:rsidP="00764BBF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6B6B6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Pr="006B6B63">
        <w:rPr>
          <w:rFonts w:ascii="Cambria" w:hAnsi="Cambria"/>
          <w:i/>
          <w:iCs/>
          <w:color w:val="000000"/>
          <w:sz w:val="22"/>
          <w:szCs w:val="22"/>
        </w:rPr>
        <w:t xml:space="preserve">średni czas technicznego procesu zmiany sprzedawcy </w:t>
      </w:r>
      <w:r w:rsidRPr="006B6B63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– </w:t>
      </w:r>
      <w:r w:rsidRPr="006B6B63">
        <w:rPr>
          <w:rFonts w:ascii="Cambria" w:hAnsi="Cambria"/>
          <w:color w:val="000000"/>
          <w:sz w:val="22"/>
          <w:szCs w:val="22"/>
        </w:rPr>
        <w:t>Czas zmiany sprzedawcy postrzegamy przez pryzmat czasu niezbędnego dla OSD do „przełączenia” danego Odbiorcy (średnia za okres sprawozdawczy).</w:t>
      </w:r>
    </w:p>
    <w:p w14:paraId="054305B5" w14:textId="76EA4E96" w:rsidR="006B6B63" w:rsidRDefault="00EC4116" w:rsidP="0055146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color w:val="000000"/>
          <w:sz w:val="22"/>
          <w:szCs w:val="22"/>
        </w:rPr>
      </w:pPr>
      <w:r w:rsidRPr="00F5011F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Dane rynkowe - </w:t>
      </w:r>
      <w:r w:rsidR="00364E3A" w:rsidRPr="00364E3A">
        <w:rPr>
          <w:rFonts w:ascii="Cambria" w:hAnsi="Cambria"/>
          <w:i/>
          <w:iCs/>
          <w:color w:val="000000"/>
          <w:sz w:val="22"/>
          <w:szCs w:val="22"/>
        </w:rPr>
        <w:t xml:space="preserve">średni czas potrzebny na przeprowadzenie procesu zmiany sprzedawcy </w:t>
      </w:r>
      <w:r w:rsidRPr="00F5011F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–</w:t>
      </w:r>
      <w:r w:rsidR="00364E3A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="00364E3A">
        <w:rPr>
          <w:rFonts w:ascii="Cambria" w:hAnsi="Cambria"/>
          <w:color w:val="000000"/>
          <w:sz w:val="22"/>
          <w:szCs w:val="22"/>
        </w:rPr>
        <w:t>c</w:t>
      </w:r>
      <w:r w:rsidR="00364E3A" w:rsidRPr="00364E3A">
        <w:rPr>
          <w:rFonts w:ascii="Cambria" w:hAnsi="Cambria"/>
          <w:color w:val="000000"/>
          <w:sz w:val="22"/>
          <w:szCs w:val="22"/>
        </w:rPr>
        <w:t>zas pomiędzy złożeniem przez upoważnionego sprzedawcę/odbiorcę powiadomienia o zawarciu nowej umowy oraz planowanym terminie rozpoczęcia sprzedaży energii elektrycznej do momentu p</w:t>
      </w:r>
      <w:r w:rsidR="00764BBF">
        <w:rPr>
          <w:rFonts w:ascii="Cambria" w:hAnsi="Cambria"/>
          <w:color w:val="000000"/>
          <w:sz w:val="22"/>
          <w:szCs w:val="22"/>
        </w:rPr>
        <w:t>ozytywnej weryfikacji przez OSD.</w:t>
      </w:r>
    </w:p>
    <w:p w14:paraId="3DBA91B4" w14:textId="08A4B38D" w:rsidR="006B6B63" w:rsidRDefault="006B6B63" w:rsidP="006B6B63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Przełączenia i TPA - </w:t>
      </w:r>
      <w:r w:rsidRPr="00086B3D">
        <w:rPr>
          <w:rFonts w:ascii="Cambria" w:hAnsi="Cambria"/>
          <w:i/>
          <w:iCs/>
          <w:color w:val="000000"/>
          <w:sz w:val="22"/>
          <w:szCs w:val="22"/>
        </w:rPr>
        <w:t xml:space="preserve">TPA </w:t>
      </w:r>
      <w:r w:rsidR="00086B3D">
        <w:rPr>
          <w:rFonts w:ascii="Cambria" w:hAnsi="Cambria"/>
          <w:i/>
          <w:iCs/>
          <w:color w:val="000000"/>
          <w:sz w:val="22"/>
          <w:szCs w:val="22"/>
        </w:rPr>
        <w:t>stan na dzień 31.12.2020 i 31.12.2021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-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liczba odbiorców, którzy</w:t>
      </w:r>
      <w:r w:rsidR="00086B3D">
        <w:rPr>
          <w:rFonts w:ascii="Cambria" w:hAnsi="Cambria"/>
          <w:iCs/>
          <w:color w:val="000000"/>
          <w:sz w:val="22"/>
          <w:szCs w:val="22"/>
        </w:rPr>
        <w:t xml:space="preserve"> kiedykolwiek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zmienili sprzedawcę</w:t>
      </w:r>
      <w:r w:rsidR="00086B3D">
        <w:rPr>
          <w:rFonts w:ascii="Cambria" w:hAnsi="Cambria"/>
          <w:iCs/>
          <w:color w:val="000000"/>
          <w:sz w:val="22"/>
          <w:szCs w:val="22"/>
        </w:rPr>
        <w:t>, istniejących na sieci OSD według stanu na określony dzień (według liczby odbiorców i PPE)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. </w:t>
      </w:r>
    </w:p>
    <w:p w14:paraId="0B790E18" w14:textId="77777777" w:rsidR="00086B3D" w:rsidRPr="00086B3D" w:rsidRDefault="00086B3D" w:rsidP="00086B3D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6B6B63">
        <w:rPr>
          <w:rStyle w:val="Teksttreci"/>
          <w:rFonts w:ascii="Cambria" w:hAnsi="Cambria"/>
          <w:color w:val="000000"/>
          <w:sz w:val="22"/>
          <w:szCs w:val="22"/>
        </w:rPr>
        <w:t xml:space="preserve">Formularz: 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Przełączenia i TPA - </w:t>
      </w:r>
      <w:r w:rsidRPr="00086B3D">
        <w:rPr>
          <w:rFonts w:ascii="Cambria" w:hAnsi="Cambria"/>
          <w:i/>
          <w:iCs/>
          <w:color w:val="000000"/>
          <w:sz w:val="22"/>
          <w:szCs w:val="22"/>
        </w:rPr>
        <w:t>TPA w danym okresie sprawozdawczych</w:t>
      </w:r>
      <w:r>
        <w:rPr>
          <w:rFonts w:ascii="Cambria" w:hAnsi="Cambria"/>
          <w:iCs/>
          <w:color w:val="000000"/>
          <w:sz w:val="22"/>
          <w:szCs w:val="22"/>
        </w:rPr>
        <w:t xml:space="preserve"> -</w:t>
      </w:r>
      <w:r w:rsidRPr="00086B3D">
        <w:rPr>
          <w:rFonts w:ascii="Cambria" w:hAnsi="Cambria"/>
          <w:iCs/>
          <w:color w:val="000000"/>
          <w:sz w:val="22"/>
          <w:szCs w:val="22"/>
        </w:rPr>
        <w:t xml:space="preserve"> liczba odbiorców, którzy zmienili sprzedawcę w okresie sprawozdawczym oznacza liczbę odbiorców, którzy dokonali zmiany sprzedawcy po raz pierwszy. </w:t>
      </w:r>
    </w:p>
    <w:p w14:paraId="0B02F4E1" w14:textId="49B86D0F" w:rsidR="00086B3D" w:rsidRPr="00086B3D" w:rsidRDefault="008D5F72" w:rsidP="008D5F7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Przełączenia i TPA </w:t>
      </w:r>
      <w:r>
        <w:rPr>
          <w:rFonts w:ascii="Cambria" w:hAnsi="Cambria"/>
          <w:i/>
          <w:iCs/>
          <w:color w:val="000000"/>
          <w:sz w:val="22"/>
          <w:szCs w:val="22"/>
        </w:rPr>
        <w:t>– zasady TPA:</w:t>
      </w:r>
    </w:p>
    <w:p w14:paraId="26F1F9D9" w14:textId="1A7D2EF5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lastRenderedPageBreak/>
        <w:t>-</w:t>
      </w:r>
      <w:r w:rsidRPr="008D5F72">
        <w:rPr>
          <w:rFonts w:ascii="Cambria" w:hAnsi="Cambria"/>
          <w:iCs/>
          <w:color w:val="000000"/>
          <w:sz w:val="22"/>
          <w:szCs w:val="22"/>
        </w:rPr>
        <w:t xml:space="preserve"> Tylko pierwsza zmiana sprzedawcy kiedykolwiek</w:t>
      </w:r>
    </w:p>
    <w:p w14:paraId="2C0ACC1B" w14:textId="4F7F3905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Nie liczymy sprzedaży rezerwowej</w:t>
      </w:r>
    </w:p>
    <w:p w14:paraId="3544EC38" w14:textId="5EBB4600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Nie zaliczamy do TPA, gdy dochodzi do zmiany sprzedawcy, gdy odbiorca dokonał tylko rozdziału umowy kompleksowej</w:t>
      </w:r>
    </w:p>
    <w:p w14:paraId="3E09A471" w14:textId="78A3A27E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 Nie liczymy jako TPA odbiorcę, który od momentu przyłączenia (nowy odbiorca) korzysta z zasady TPA</w:t>
      </w:r>
      <w:r w:rsidR="00414070">
        <w:rPr>
          <w:rFonts w:ascii="Cambria" w:hAnsi="Cambria"/>
          <w:iCs/>
          <w:color w:val="000000"/>
          <w:sz w:val="22"/>
          <w:szCs w:val="22"/>
        </w:rPr>
        <w:t xml:space="preserve"> </w:t>
      </w:r>
    </w:p>
    <w:p w14:paraId="12F66549" w14:textId="592B77F8" w:rsidR="008D5F72" w:rsidRPr="008D5F72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Liczymy odbiorców TPA, którzy wrócili do sprzedawcy zasiedziałego</w:t>
      </w:r>
    </w:p>
    <w:p w14:paraId="27CAD1F7" w14:textId="73A648E5" w:rsidR="00F5011F" w:rsidRDefault="008D5F72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Jeśli odbiorca był już TPA w ubiegłym roku, potem wrócił do sprzedawcy zasiedziałego, a następnie w nowym roku sprawozdawczym zmienił sprzedawcę na sprzedawcę innego niż zasiedziały – nie liczymy go jako nowego TPA w obecnym okresie sprawozdawczym. Był on bowiem już zaliczony jako TPA w poprzedni okresie sprawozdawczym (w poprzednim roku).</w:t>
      </w:r>
    </w:p>
    <w:p w14:paraId="1CB4D578" w14:textId="77777777" w:rsidR="00764BBF" w:rsidRPr="008D5F72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- Wolumen:</w:t>
      </w:r>
    </w:p>
    <w:p w14:paraId="606E1251" w14:textId="77777777" w:rsidR="00764BBF" w:rsidRPr="008D5F72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odbiorców, którzy zostali TPA w poprzednich latach – wolumen z całego roku</w:t>
      </w:r>
    </w:p>
    <w:p w14:paraId="79C19054" w14:textId="77777777" w:rsidR="00764BBF" w:rsidRPr="008D5F72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>odbiorcy, którzy zostali TPA w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8D5F72">
        <w:rPr>
          <w:rFonts w:ascii="Cambria" w:hAnsi="Cambria"/>
          <w:iCs/>
          <w:color w:val="000000"/>
          <w:sz w:val="22"/>
          <w:szCs w:val="22"/>
        </w:rPr>
        <w:t>aktualnym roku sprawozdawczym – wolumen od momentu skorzystania przez odbiorcę z prawa TPA</w:t>
      </w:r>
    </w:p>
    <w:p w14:paraId="3962C1E2" w14:textId="77777777" w:rsidR="00764BBF" w:rsidRPr="008D5F72" w:rsidRDefault="00764BBF" w:rsidP="00414070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</w:p>
    <w:p w14:paraId="638E1DEA" w14:textId="033AC289" w:rsidR="008D5F72" w:rsidRPr="008D5F72" w:rsidRDefault="008D5F72" w:rsidP="008D5F72">
      <w:pPr>
        <w:pStyle w:val="Teksttreci1"/>
        <w:numPr>
          <w:ilvl w:val="0"/>
          <w:numId w:val="6"/>
        </w:numPr>
        <w:spacing w:before="0" w:line="360" w:lineRule="auto"/>
        <w:ind w:left="426"/>
        <w:jc w:val="both"/>
        <w:rPr>
          <w:rFonts w:ascii="Cambria" w:hAnsi="Cambria"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Przełączenia i TPA </w:t>
      </w:r>
      <w:r>
        <w:rPr>
          <w:rFonts w:ascii="Cambria" w:hAnsi="Cambria"/>
          <w:i/>
          <w:iCs/>
          <w:color w:val="000000"/>
          <w:sz w:val="22"/>
          <w:szCs w:val="22"/>
        </w:rPr>
        <w:t>–</w:t>
      </w:r>
      <w:r w:rsidR="00870D21" w:rsidRPr="00870D21">
        <w:rPr>
          <w:rStyle w:val="Teksttreci"/>
          <w:rFonts w:ascii="Cambria" w:hAnsi="Cambria"/>
          <w:color w:val="000000"/>
          <w:sz w:val="22"/>
          <w:szCs w:val="22"/>
        </w:rPr>
        <w:t xml:space="preserve"> przez 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external switchin</w:t>
      </w:r>
      <w:r w:rsidR="003B78C0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– odbiorcy, którzy w 2021 </w:t>
      </w:r>
      <w:r w:rsidR="00870D21"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r, zmienili sprzedawcę</w:t>
      </w:r>
      <w:r w:rsidR="00FB08C5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70D21" w:rsidRPr="00870D21">
        <w:rPr>
          <w:rStyle w:val="Teksttreci"/>
          <w:rFonts w:ascii="Cambria" w:hAnsi="Cambria"/>
          <w:color w:val="000000"/>
          <w:sz w:val="22"/>
          <w:szCs w:val="22"/>
        </w:rPr>
        <w:t>rozumie się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odbiorców, któ</w:t>
      </w:r>
      <w:r>
        <w:rPr>
          <w:rStyle w:val="Teksttreci"/>
          <w:rFonts w:ascii="Cambria" w:hAnsi="Cambria"/>
          <w:color w:val="000000"/>
          <w:sz w:val="22"/>
          <w:szCs w:val="22"/>
        </w:rPr>
        <w:t>rzy w okresie od 1 stycznia 2021 r. do 31 grudnia 2021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r. zmienili sprzedawcę energii elektrycznej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(dokonali przełączenia)</w:t>
      </w:r>
      <w:r w:rsidR="00870D21">
        <w:rPr>
          <w:rStyle w:val="Teksttreci"/>
          <w:rFonts w:ascii="Cambria" w:hAnsi="Cambria"/>
          <w:color w:val="000000"/>
          <w:sz w:val="22"/>
          <w:szCs w:val="22"/>
        </w:rPr>
        <w:t xml:space="preserve"> na sieci OSD.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P</w:t>
      </w:r>
      <w:r w:rsidRPr="008D5F72">
        <w:rPr>
          <w:rFonts w:ascii="Cambria" w:hAnsi="Cambria"/>
          <w:color w:val="000000"/>
          <w:sz w:val="22"/>
          <w:szCs w:val="22"/>
        </w:rPr>
        <w:t>od pojęciem przełączenia (external switching) rozumie się każdorazową zmianę sprzedawcy (np. w przypadku odbiorcy, który dwa razy zmienił sprzedawcę w danym okresie sprawozdawczym – jego liczba przełączeń będzie wynosiła 2).</w:t>
      </w:r>
    </w:p>
    <w:p w14:paraId="16C2DFB0" w14:textId="1AECC77C" w:rsidR="00764BBF" w:rsidRDefault="00764BBF" w:rsidP="00764BBF">
      <w:pPr>
        <w:pStyle w:val="Teksttreci1"/>
        <w:numPr>
          <w:ilvl w:val="0"/>
          <w:numId w:val="6"/>
        </w:numPr>
        <w:spacing w:before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8D5F72">
        <w:rPr>
          <w:rFonts w:ascii="Cambria" w:hAnsi="Cambria"/>
          <w:sz w:val="22"/>
          <w:szCs w:val="22"/>
        </w:rPr>
        <w:t>rzełączenie to każdorazowa zmiana sprzedawcy i powinna być rozumiana jako wybór przez odbiorcę nowego sprzedawcy. Zatem wykazywanie w ramach external switching liczby uruchomionej na rzecz odbiorców rezerwowej</w:t>
      </w:r>
      <w:r>
        <w:rPr>
          <w:rFonts w:ascii="Cambria" w:hAnsi="Cambria"/>
          <w:sz w:val="22"/>
          <w:szCs w:val="22"/>
        </w:rPr>
        <w:t>/z urzędu (art. 5ab uPe)</w:t>
      </w:r>
      <w:r w:rsidRPr="008D5F72">
        <w:rPr>
          <w:rFonts w:ascii="Cambria" w:hAnsi="Cambria"/>
          <w:sz w:val="22"/>
          <w:szCs w:val="22"/>
        </w:rPr>
        <w:t xml:space="preserve"> umowy sprzedaży </w:t>
      </w:r>
      <w:r w:rsidR="007C75B9">
        <w:rPr>
          <w:rFonts w:ascii="Cambria" w:hAnsi="Cambria"/>
          <w:sz w:val="22"/>
          <w:szCs w:val="22"/>
        </w:rPr>
        <w:t>energii elektrycznej</w:t>
      </w:r>
      <w:r>
        <w:rPr>
          <w:rFonts w:ascii="Cambria" w:hAnsi="Cambria"/>
          <w:sz w:val="22"/>
          <w:szCs w:val="22"/>
        </w:rPr>
        <w:t xml:space="preserve"> </w:t>
      </w:r>
      <w:r w:rsidRPr="008D5F72">
        <w:rPr>
          <w:rFonts w:ascii="Cambria" w:hAnsi="Cambria"/>
          <w:sz w:val="22"/>
          <w:szCs w:val="22"/>
        </w:rPr>
        <w:t>- jest niewłaściwe.</w:t>
      </w:r>
    </w:p>
    <w:p w14:paraId="67680847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Zasady </w:t>
      </w:r>
      <w:r w:rsidRPr="00AA33CA">
        <w:rPr>
          <w:rFonts w:ascii="Cambria" w:hAnsi="Cambria"/>
          <w:iCs/>
          <w:color w:val="000000"/>
          <w:sz w:val="22"/>
          <w:szCs w:val="22"/>
        </w:rPr>
        <w:t>external switching</w:t>
      </w:r>
      <w:r>
        <w:rPr>
          <w:rFonts w:ascii="Cambria" w:hAnsi="Cambria"/>
          <w:iCs/>
          <w:color w:val="000000"/>
          <w:sz w:val="22"/>
          <w:szCs w:val="22"/>
        </w:rPr>
        <w:t>:</w:t>
      </w:r>
    </w:p>
    <w:p w14:paraId="1D126CAD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Każda zmiana sprzedawcy (przełączenie) w danym okresie sprawozdawczym</w:t>
      </w:r>
    </w:p>
    <w:p w14:paraId="66DFFD5D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Nie liczymy sprzedaży rezerwowej</w:t>
      </w:r>
      <w:r>
        <w:rPr>
          <w:rFonts w:ascii="Cambria" w:hAnsi="Cambria"/>
          <w:iCs/>
          <w:color w:val="000000"/>
          <w:sz w:val="22"/>
          <w:szCs w:val="22"/>
        </w:rPr>
        <w:t>/ z urzędu (art. 5ab uPe)</w:t>
      </w:r>
    </w:p>
    <w:p w14:paraId="3A07D4CB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bookmarkStart w:id="2" w:name="_Hlk92724155"/>
      <w:r>
        <w:rPr>
          <w:rFonts w:ascii="Cambria" w:hAnsi="Cambria"/>
          <w:iCs/>
          <w:color w:val="000000"/>
          <w:sz w:val="22"/>
          <w:szCs w:val="22"/>
        </w:rPr>
        <w:t xml:space="preserve">- </w:t>
      </w:r>
      <w:r w:rsidRPr="00AA33CA">
        <w:rPr>
          <w:rFonts w:ascii="Cambria" w:hAnsi="Cambria"/>
          <w:iCs/>
          <w:color w:val="000000"/>
          <w:sz w:val="22"/>
          <w:szCs w:val="22"/>
        </w:rPr>
        <w:t>Nie doch</w:t>
      </w:r>
      <w:r>
        <w:rPr>
          <w:rFonts w:ascii="Cambria" w:hAnsi="Cambria"/>
          <w:iCs/>
          <w:color w:val="000000"/>
          <w:sz w:val="22"/>
          <w:szCs w:val="22"/>
        </w:rPr>
        <w:t xml:space="preserve">odzi do zmiany sprzedawcy, gdy </w:t>
      </w:r>
      <w:r w:rsidRPr="008D5F72">
        <w:rPr>
          <w:rFonts w:ascii="Cambria" w:hAnsi="Cambria"/>
          <w:iCs/>
          <w:color w:val="000000"/>
          <w:sz w:val="22"/>
          <w:szCs w:val="22"/>
        </w:rPr>
        <w:t>odbiorca dokonał tylko rozdziału umowy kompleksowej</w:t>
      </w:r>
    </w:p>
    <w:bookmarkEnd w:id="2"/>
    <w:p w14:paraId="597B3AD3" w14:textId="77777777" w:rsidR="00764BBF" w:rsidRPr="00AA33CA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-W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 przypadku zmian organizacyjnych wewnątrz struktur sprzedawcy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gdy nastąpi przeniesienie odbiorców </w:t>
      </w:r>
      <w:r>
        <w:rPr>
          <w:rFonts w:ascii="Cambria" w:hAnsi="Cambria"/>
          <w:iCs/>
          <w:color w:val="000000"/>
          <w:sz w:val="22"/>
          <w:szCs w:val="22"/>
        </w:rPr>
        <w:t xml:space="preserve">wewnątrz grupy kapitałowej (np. </w:t>
      </w:r>
      <w:r w:rsidRPr="00414070">
        <w:rPr>
          <w:rFonts w:ascii="Cambria" w:hAnsi="Cambria"/>
          <w:iCs/>
          <w:color w:val="000000"/>
          <w:sz w:val="22"/>
          <w:szCs w:val="22"/>
        </w:rPr>
        <w:t>z jednej spółki do drugiej</w:t>
      </w:r>
      <w:r>
        <w:rPr>
          <w:rFonts w:ascii="Cambria" w:hAnsi="Cambria"/>
          <w:iCs/>
          <w:color w:val="000000"/>
          <w:sz w:val="22"/>
          <w:szCs w:val="22"/>
        </w:rPr>
        <w:t>) nie zaliczamy takiego przełączenia</w:t>
      </w:r>
      <w:r w:rsidRPr="00414070">
        <w:rPr>
          <w:rFonts w:ascii="Cambria" w:hAnsi="Cambria"/>
          <w:iCs/>
          <w:color w:val="000000"/>
          <w:sz w:val="22"/>
          <w:szCs w:val="22"/>
        </w:rPr>
        <w:t xml:space="preserve"> to jako zmiana sprzedawcy</w:t>
      </w:r>
    </w:p>
    <w:p w14:paraId="678C8AA4" w14:textId="77777777" w:rsidR="00764BBF" w:rsidRDefault="00764BBF" w:rsidP="00764BBF">
      <w:pPr>
        <w:pStyle w:val="Teksttreci1"/>
        <w:shd w:val="clear" w:color="auto" w:fill="auto"/>
        <w:spacing w:before="0" w:line="360" w:lineRule="auto"/>
        <w:ind w:left="360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 xml:space="preserve">- Wolumen: </w:t>
      </w:r>
      <w:r w:rsidRPr="00AA33CA">
        <w:rPr>
          <w:rFonts w:ascii="Cambria" w:hAnsi="Cambria"/>
          <w:iCs/>
          <w:color w:val="000000"/>
          <w:sz w:val="22"/>
          <w:szCs w:val="22"/>
        </w:rPr>
        <w:t>odbiorcy, którzy dokonali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zmia</w:t>
      </w:r>
      <w:r>
        <w:rPr>
          <w:rFonts w:ascii="Cambria" w:hAnsi="Cambria"/>
          <w:iCs/>
          <w:color w:val="000000"/>
          <w:sz w:val="22"/>
          <w:szCs w:val="22"/>
        </w:rPr>
        <w:t xml:space="preserve">ny sprzedawcy (przełączenia) w </w:t>
      </w:r>
      <w:r w:rsidRPr="00AA33CA">
        <w:rPr>
          <w:rFonts w:ascii="Cambria" w:hAnsi="Cambria"/>
          <w:iCs/>
          <w:color w:val="000000"/>
          <w:sz w:val="22"/>
          <w:szCs w:val="22"/>
        </w:rPr>
        <w:t>aktualnym</w:t>
      </w:r>
      <w:r>
        <w:rPr>
          <w:rFonts w:ascii="Cambria" w:hAnsi="Cambria"/>
          <w:iCs/>
          <w:color w:val="000000"/>
          <w:sz w:val="22"/>
          <w:szCs w:val="22"/>
        </w:rPr>
        <w:t xml:space="preserve"> roku </w:t>
      </w:r>
      <w:r w:rsidRPr="00AA33CA">
        <w:rPr>
          <w:rFonts w:ascii="Cambria" w:hAnsi="Cambria"/>
          <w:iCs/>
          <w:color w:val="000000"/>
          <w:sz w:val="22"/>
          <w:szCs w:val="22"/>
        </w:rPr>
        <w:t xml:space="preserve">sprawozdawczym –wolumen od momentu </w:t>
      </w:r>
      <w:r>
        <w:rPr>
          <w:rFonts w:ascii="Cambria" w:hAnsi="Cambria"/>
          <w:iCs/>
          <w:color w:val="000000"/>
          <w:sz w:val="22"/>
          <w:szCs w:val="22"/>
        </w:rPr>
        <w:t xml:space="preserve">pierwszej w okresie sprawozdawczym </w:t>
      </w:r>
      <w:r w:rsidRPr="00AA33CA">
        <w:rPr>
          <w:rFonts w:ascii="Cambria" w:hAnsi="Cambria"/>
          <w:iCs/>
          <w:color w:val="000000"/>
          <w:sz w:val="22"/>
          <w:szCs w:val="22"/>
        </w:rPr>
        <w:t>zmiany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lastRenderedPageBreak/>
        <w:t>sprzedawcy (przełączenia)</w:t>
      </w:r>
    </w:p>
    <w:p w14:paraId="02043562" w14:textId="5395B450" w:rsidR="000A3371" w:rsidRDefault="000A3371" w:rsidP="000A3371">
      <w:pPr>
        <w:pStyle w:val="Teksttreci1"/>
        <w:numPr>
          <w:ilvl w:val="0"/>
          <w:numId w:val="6"/>
        </w:numPr>
        <w:spacing w:before="0" w:after="120" w:line="360" w:lineRule="auto"/>
        <w:ind w:left="426"/>
        <w:jc w:val="both"/>
        <w:rPr>
          <w:rFonts w:ascii="Cambria" w:hAnsi="Cambria"/>
          <w:iCs/>
          <w:color w:val="000000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Prosumenci i klastry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Pr="000A3371">
        <w:rPr>
          <w:rFonts w:ascii="Cambria" w:hAnsi="Cambria"/>
          <w:iCs/>
          <w:color w:val="000000"/>
          <w:sz w:val="22"/>
          <w:szCs w:val="22"/>
        </w:rPr>
        <w:t>Zgodnie z ustawą z dnia 20 lutego 2015 r. o odnawialnych źró</w:t>
      </w:r>
      <w:r w:rsidR="00E929C9">
        <w:rPr>
          <w:rFonts w:ascii="Cambria" w:hAnsi="Cambria"/>
          <w:iCs/>
          <w:color w:val="000000"/>
          <w:sz w:val="22"/>
          <w:szCs w:val="22"/>
        </w:rPr>
        <w:t>dłach energii (tj. Dz. U. z 2021</w:t>
      </w:r>
      <w:r w:rsidRPr="000A3371">
        <w:rPr>
          <w:rFonts w:ascii="Cambria" w:hAnsi="Cambria"/>
          <w:iCs/>
          <w:color w:val="000000"/>
          <w:sz w:val="22"/>
          <w:szCs w:val="22"/>
        </w:rPr>
        <w:t xml:space="preserve"> r. poz. </w:t>
      </w:r>
      <w:r w:rsidR="00E929C9">
        <w:rPr>
          <w:rFonts w:ascii="Cambria" w:hAnsi="Cambria"/>
          <w:iCs/>
          <w:color w:val="000000"/>
          <w:sz w:val="22"/>
          <w:szCs w:val="22"/>
        </w:rPr>
        <w:t>610</w:t>
      </w:r>
      <w:r w:rsidRPr="000A3371">
        <w:rPr>
          <w:rFonts w:ascii="Cambria" w:hAnsi="Cambria"/>
          <w:iCs/>
          <w:color w:val="000000"/>
          <w:sz w:val="22"/>
          <w:szCs w:val="22"/>
        </w:rPr>
        <w:t xml:space="preserve"> ze zm.) prosument energii odnawialnej – odbiorcę końcowego wytwarzającego energię elektryczną wyłącznie z odnawialnych źródeł energii na własne potrzeby w mikroinstalacji, pod warunkiem że w przypadku odbiorcy końcowego niebędącego odbiorcą energii elektrycznej w gospodarstwie domowym, </w:t>
      </w:r>
      <w:r w:rsidRPr="000A3371">
        <w:rPr>
          <w:rFonts w:ascii="Cambria" w:hAnsi="Cambria"/>
          <w:iCs/>
          <w:color w:val="000000"/>
          <w:sz w:val="22"/>
          <w:szCs w:val="22"/>
          <w:u w:val="single"/>
        </w:rPr>
        <w:t>nie stanowi to przedmiotu przeważającej działalności gospodarcze</w:t>
      </w:r>
      <w:r w:rsidRPr="000A3371">
        <w:rPr>
          <w:rFonts w:ascii="Cambria" w:hAnsi="Cambria"/>
          <w:iCs/>
          <w:color w:val="000000"/>
          <w:sz w:val="22"/>
          <w:szCs w:val="22"/>
        </w:rPr>
        <w:t>j określonej zgodnie z przepisami wydanymi na podstawie art. 40 ust. 2 ustawy z dnia 29 czerwca 1995 r. o statystyce publicznej (Dz. U. z 20</w:t>
      </w:r>
      <w:r w:rsidR="000A58BE">
        <w:rPr>
          <w:rFonts w:ascii="Cambria" w:hAnsi="Cambria"/>
          <w:iCs/>
          <w:color w:val="000000"/>
          <w:sz w:val="22"/>
          <w:szCs w:val="22"/>
        </w:rPr>
        <w:t>21</w:t>
      </w:r>
      <w:r w:rsidRPr="000A3371">
        <w:rPr>
          <w:rFonts w:ascii="Cambria" w:hAnsi="Cambria"/>
          <w:iCs/>
          <w:color w:val="000000"/>
          <w:sz w:val="22"/>
          <w:szCs w:val="22"/>
        </w:rPr>
        <w:t xml:space="preserve"> r. poz. </w:t>
      </w:r>
      <w:r w:rsidR="000A58BE">
        <w:rPr>
          <w:rFonts w:ascii="Cambria" w:hAnsi="Cambria"/>
          <w:iCs/>
          <w:color w:val="000000"/>
          <w:sz w:val="22"/>
          <w:szCs w:val="22"/>
        </w:rPr>
        <w:t>955 ze zm.</w:t>
      </w:r>
      <w:r w:rsidRPr="000A3371">
        <w:rPr>
          <w:rFonts w:ascii="Cambria" w:hAnsi="Cambria"/>
          <w:iCs/>
          <w:color w:val="000000"/>
          <w:sz w:val="22"/>
          <w:szCs w:val="22"/>
        </w:rPr>
        <w:t>).</w:t>
      </w:r>
    </w:p>
    <w:p w14:paraId="41F99938" w14:textId="41454593" w:rsidR="00414070" w:rsidRPr="000A3371" w:rsidRDefault="00414070" w:rsidP="00414070">
      <w:pPr>
        <w:pStyle w:val="Teksttreci1"/>
        <w:spacing w:before="0" w:after="120" w:line="360" w:lineRule="auto"/>
        <w:ind w:left="426" w:firstLine="0"/>
        <w:jc w:val="both"/>
        <w:rPr>
          <w:rFonts w:ascii="Cambria" w:hAnsi="Cambria"/>
          <w:iCs/>
          <w:color w:val="000000"/>
          <w:sz w:val="22"/>
          <w:szCs w:val="22"/>
        </w:rPr>
      </w:pPr>
      <w:r>
        <w:rPr>
          <w:rFonts w:ascii="Cambria" w:hAnsi="Cambria"/>
          <w:iCs/>
          <w:color w:val="000000"/>
          <w:sz w:val="22"/>
          <w:szCs w:val="22"/>
        </w:rPr>
        <w:t>UWAGA: dla potrzeb monitoringu przyjmujemy, że prosument powinien mieć podpisaną umowę kompleksową.</w:t>
      </w:r>
    </w:p>
    <w:p w14:paraId="36254C8C" w14:textId="2C6CFF5A" w:rsidR="00F57340" w:rsidRPr="0066230A" w:rsidRDefault="00F57340" w:rsidP="00F57340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Prosumenci i klastry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>godnie z ustawą z dnia 20 lutego 2015 r. o odnawialnych źródłach energii (tj. Dz. U. z 202</w:t>
      </w:r>
      <w:r w:rsidR="000A58BE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 r. poz. </w:t>
      </w:r>
      <w:r w:rsidR="000A58BE">
        <w:rPr>
          <w:rStyle w:val="Teksttreci"/>
          <w:rFonts w:ascii="Cambria" w:hAnsi="Cambria"/>
          <w:color w:val="000000"/>
          <w:sz w:val="22"/>
          <w:szCs w:val="22"/>
        </w:rPr>
        <w:t>610</w:t>
      </w:r>
      <w:r w:rsidRPr="0066230A">
        <w:rPr>
          <w:rStyle w:val="Teksttreci"/>
          <w:rFonts w:ascii="Cambria" w:hAnsi="Cambria"/>
          <w:color w:val="000000"/>
          <w:sz w:val="22"/>
          <w:szCs w:val="22"/>
        </w:rPr>
        <w:t xml:space="preserve"> ze zm.) </w:t>
      </w:r>
      <w:r w:rsidRPr="0066230A">
        <w:rPr>
          <w:rFonts w:ascii="Cambria" w:hAnsi="Cambria"/>
          <w:i/>
          <w:iCs/>
          <w:sz w:val="22"/>
          <w:szCs w:val="22"/>
        </w:rPr>
        <w:t>klaster energii</w:t>
      </w:r>
      <w:r w:rsidRPr="0066230A">
        <w:rPr>
          <w:rFonts w:ascii="Cambria" w:hAnsi="Cambria"/>
          <w:sz w:val="22"/>
          <w:szCs w:val="22"/>
        </w:rPr>
        <w:t xml:space="preserve"> to cywilnoprawne porozumienie, w skład którego mogą wchodzić osoby fizyczne, osoby prawne, podmioty, o których mowa w art. 7 ust. 1 pkt 1, 2 i 4–8 ustawy z dnia 20 lipca 2018 r. – Prawo o szkolnictwie wyższym i nauce (</w:t>
      </w:r>
      <w:r w:rsidR="000A58BE">
        <w:rPr>
          <w:rFonts w:ascii="Cambria" w:hAnsi="Cambria"/>
          <w:sz w:val="22"/>
          <w:szCs w:val="22"/>
        </w:rPr>
        <w:t xml:space="preserve">tj. </w:t>
      </w:r>
      <w:r w:rsidR="00764BBF">
        <w:rPr>
          <w:rFonts w:ascii="Cambria" w:hAnsi="Cambria"/>
          <w:sz w:val="22"/>
          <w:szCs w:val="22"/>
        </w:rPr>
        <w:t xml:space="preserve">Dz. U. z 2021 r. poz. </w:t>
      </w:r>
      <w:r w:rsidR="000A58BE">
        <w:rPr>
          <w:rFonts w:ascii="Cambria" w:hAnsi="Cambria"/>
          <w:sz w:val="22"/>
          <w:szCs w:val="22"/>
        </w:rPr>
        <w:t>478 ze zm.</w:t>
      </w:r>
      <w:r w:rsidR="00764BBF">
        <w:rPr>
          <w:rFonts w:ascii="Cambria" w:hAnsi="Cambria"/>
          <w:sz w:val="22"/>
          <w:szCs w:val="22"/>
        </w:rPr>
        <w:t>)</w:t>
      </w:r>
      <w:r w:rsidRPr="0066230A">
        <w:rPr>
          <w:rFonts w:ascii="Cambria" w:hAnsi="Cambria"/>
          <w:sz w:val="22"/>
          <w:szCs w:val="22"/>
        </w:rPr>
        <w:t>, lub jednostki samorządu terytorialnego, dotyczące wytwarzania i równoważenia zapotrzebowania, dystrybucji lub obrotu energią z odnawialnych źródeł energii lub z innych źródeł lub paliw, w ramach sieci dystrybucyjnej o napięciu znamionowym niższym niż 110 kV, na obszarze działania tego klastra nieprzekraczającym granic jednego powiatu w rozumieniu ustawy z dnia 5 czerwca 1998 r. o samorządzie powiatowym (</w:t>
      </w:r>
      <w:r w:rsidR="000A58BE">
        <w:rPr>
          <w:rFonts w:ascii="Cambria" w:hAnsi="Cambria"/>
          <w:sz w:val="22"/>
          <w:szCs w:val="22"/>
        </w:rPr>
        <w:t xml:space="preserve">tj. </w:t>
      </w:r>
      <w:r w:rsidRPr="0066230A">
        <w:rPr>
          <w:rFonts w:ascii="Cambria" w:hAnsi="Cambria"/>
          <w:sz w:val="22"/>
          <w:szCs w:val="22"/>
        </w:rPr>
        <w:t>Dz. U. z 20</w:t>
      </w:r>
      <w:r w:rsidR="000A58BE">
        <w:rPr>
          <w:rFonts w:ascii="Cambria" w:hAnsi="Cambria"/>
          <w:sz w:val="22"/>
          <w:szCs w:val="22"/>
        </w:rPr>
        <w:t>20</w:t>
      </w:r>
      <w:r w:rsidRPr="0066230A">
        <w:rPr>
          <w:rFonts w:ascii="Cambria" w:hAnsi="Cambria"/>
          <w:sz w:val="22"/>
          <w:szCs w:val="22"/>
        </w:rPr>
        <w:t xml:space="preserve"> r. poz. </w:t>
      </w:r>
      <w:r w:rsidR="000A58BE">
        <w:rPr>
          <w:rFonts w:ascii="Cambria" w:hAnsi="Cambria"/>
          <w:sz w:val="22"/>
          <w:szCs w:val="22"/>
        </w:rPr>
        <w:t>920 ze zm.</w:t>
      </w:r>
      <w:r w:rsidRPr="0066230A">
        <w:rPr>
          <w:rFonts w:ascii="Cambria" w:hAnsi="Cambria"/>
          <w:sz w:val="22"/>
          <w:szCs w:val="22"/>
        </w:rPr>
        <w:t>) lub 5 gmin w rozumieniu ustawy z dnia 8 marca 1990 r. o samorządzie gminnym (</w:t>
      </w:r>
      <w:r w:rsidR="000A58BE">
        <w:rPr>
          <w:rFonts w:ascii="Cambria" w:hAnsi="Cambria"/>
          <w:sz w:val="22"/>
          <w:szCs w:val="22"/>
        </w:rPr>
        <w:t xml:space="preserve">tj. </w:t>
      </w:r>
      <w:r w:rsidRPr="0066230A">
        <w:rPr>
          <w:rFonts w:ascii="Cambria" w:hAnsi="Cambria"/>
          <w:sz w:val="22"/>
          <w:szCs w:val="22"/>
        </w:rPr>
        <w:t>Dz. U. z 20</w:t>
      </w:r>
      <w:r w:rsidR="000A58BE">
        <w:rPr>
          <w:rFonts w:ascii="Cambria" w:hAnsi="Cambria"/>
          <w:sz w:val="22"/>
          <w:szCs w:val="22"/>
        </w:rPr>
        <w:t>21</w:t>
      </w:r>
      <w:r w:rsidRPr="0066230A">
        <w:rPr>
          <w:rFonts w:ascii="Cambria" w:hAnsi="Cambria"/>
          <w:sz w:val="22"/>
          <w:szCs w:val="22"/>
        </w:rPr>
        <w:t xml:space="preserve"> r. poz. </w:t>
      </w:r>
      <w:r w:rsidR="000A58BE">
        <w:rPr>
          <w:rFonts w:ascii="Cambria" w:hAnsi="Cambria"/>
          <w:sz w:val="22"/>
          <w:szCs w:val="22"/>
        </w:rPr>
        <w:t>1372 ze zm.</w:t>
      </w:r>
      <w:r w:rsidRPr="0066230A">
        <w:rPr>
          <w:rFonts w:ascii="Cambria" w:hAnsi="Cambria"/>
          <w:sz w:val="22"/>
          <w:szCs w:val="22"/>
        </w:rPr>
        <w:t>)</w:t>
      </w:r>
    </w:p>
    <w:p w14:paraId="12BD2C92" w14:textId="59CA457C" w:rsidR="00877973" w:rsidRPr="00154454" w:rsidRDefault="00F57340" w:rsidP="00E929C9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Sprzedawca rezerwowy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należy odznaczyć małą literką „x” tych sprzedawców 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rezerwow</w:t>
      </w:r>
      <w:r w:rsidR="00087BE2">
        <w:rPr>
          <w:rFonts w:ascii="Cambria" w:hAnsi="Cambria"/>
          <w:iCs/>
          <w:color w:val="000000"/>
          <w:sz w:val="22"/>
          <w:szCs w:val="22"/>
        </w:rPr>
        <w:t>ych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, którzy w okresie 01.01.2021-31.12.2021- na obszarze OSD mogli świadczyć rezerwową sprzedaż energii elektrycznej dla odbiorców końcowych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 oraz tych sprzedawców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 xml:space="preserve"> rezerwow</w:t>
      </w:r>
      <w:r w:rsidR="00087BE2">
        <w:rPr>
          <w:rFonts w:ascii="Cambria" w:hAnsi="Cambria"/>
          <w:iCs/>
          <w:color w:val="000000"/>
          <w:sz w:val="22"/>
          <w:szCs w:val="22"/>
        </w:rPr>
        <w:t>ych</w:t>
      </w:r>
      <w:r w:rsidR="00087BE2" w:rsidRPr="00087BE2">
        <w:rPr>
          <w:rFonts w:ascii="Cambria" w:hAnsi="Cambria"/>
          <w:iCs/>
          <w:color w:val="000000"/>
          <w:sz w:val="22"/>
          <w:szCs w:val="22"/>
        </w:rPr>
        <w:t>, którzy w  okresie od 01.01.2021-31.12.2021 - na obszarze  OSD mogli świadczyć rezerwową usługę kompleksową dla odbiorców końcowych</w:t>
      </w:r>
      <w:r w:rsidR="00087BE2">
        <w:rPr>
          <w:rFonts w:ascii="Cambria" w:hAnsi="Cambria"/>
          <w:iCs/>
          <w:color w:val="000000"/>
          <w:sz w:val="22"/>
          <w:szCs w:val="22"/>
        </w:rPr>
        <w:t xml:space="preserve"> dla</w:t>
      </w:r>
      <w:r w:rsidR="00CD2C82">
        <w:rPr>
          <w:rFonts w:ascii="Cambria" w:hAnsi="Cambria"/>
          <w:iCs/>
          <w:color w:val="000000"/>
          <w:sz w:val="22"/>
          <w:szCs w:val="22"/>
        </w:rPr>
        <w:t xml:space="preserve"> poszczególnych grup taryfowych.</w:t>
      </w:r>
    </w:p>
    <w:p w14:paraId="04C69EA2" w14:textId="411788C5" w:rsidR="002F17DE" w:rsidRPr="00154454" w:rsidRDefault="002F17DE" w:rsidP="002F17DE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bookmarkStart w:id="3" w:name="_Hlk92896950"/>
      <w:r w:rsidRPr="008D5F72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>
        <w:rPr>
          <w:rFonts w:ascii="Cambria" w:hAnsi="Cambria"/>
          <w:i/>
          <w:iCs/>
          <w:color w:val="000000"/>
          <w:sz w:val="22"/>
          <w:szCs w:val="22"/>
        </w:rPr>
        <w:t>Sprzedawca rezerwowy</w:t>
      </w:r>
      <w:r w:rsidRPr="008D5F72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r w:rsidRPr="00AA33CA">
        <w:rPr>
          <w:rFonts w:ascii="Cambria" w:hAnsi="Cambria"/>
          <w:iCs/>
          <w:color w:val="000000"/>
          <w:sz w:val="22"/>
          <w:szCs w:val="22"/>
        </w:rPr>
        <w:t>–</w:t>
      </w:r>
      <w:r>
        <w:rPr>
          <w:rFonts w:ascii="Cambria" w:hAnsi="Cambria"/>
          <w:iCs/>
          <w:color w:val="000000"/>
          <w:sz w:val="22"/>
          <w:szCs w:val="22"/>
        </w:rPr>
        <w:t xml:space="preserve"> należy wpisać liczbę odbiorców u każdego ze sprzedawców</w:t>
      </w:r>
      <w:r w:rsidRPr="00087BE2">
        <w:rPr>
          <w:rFonts w:ascii="Cambria" w:hAnsi="Cambria"/>
          <w:iCs/>
          <w:color w:val="000000"/>
          <w:sz w:val="22"/>
          <w:szCs w:val="22"/>
        </w:rPr>
        <w:t>, którzy w okresie 01.01.2021-31.12.2021</w:t>
      </w:r>
      <w:r>
        <w:rPr>
          <w:rFonts w:ascii="Cambria" w:hAnsi="Cambria"/>
          <w:iCs/>
          <w:color w:val="000000"/>
          <w:sz w:val="22"/>
          <w:szCs w:val="22"/>
        </w:rPr>
        <w:t xml:space="preserve"> byli objęci sprzedażą rezerwową (art. 5 aa uPe)/</w:t>
      </w:r>
      <w:r w:rsidR="001B4E9E">
        <w:rPr>
          <w:rFonts w:ascii="Cambria" w:hAnsi="Cambria"/>
          <w:iCs/>
          <w:color w:val="000000"/>
          <w:sz w:val="22"/>
          <w:szCs w:val="22"/>
        </w:rPr>
        <w:t>sprzedażą z urzędu (art. 5ab uPe)</w:t>
      </w:r>
      <w:r>
        <w:rPr>
          <w:rFonts w:ascii="Cambria" w:hAnsi="Cambria"/>
          <w:iCs/>
          <w:color w:val="000000"/>
          <w:sz w:val="22"/>
          <w:szCs w:val="22"/>
        </w:rPr>
        <w:t xml:space="preserve"> u danego sprzedawcy</w:t>
      </w:r>
      <w:r w:rsidRPr="00087BE2">
        <w:rPr>
          <w:rFonts w:ascii="Cambria" w:hAnsi="Cambria"/>
          <w:iCs/>
          <w:color w:val="000000"/>
          <w:sz w:val="22"/>
          <w:szCs w:val="22"/>
        </w:rPr>
        <w:t xml:space="preserve"> na obszarze OSD</w:t>
      </w:r>
      <w:r>
        <w:rPr>
          <w:rFonts w:ascii="Cambria" w:hAnsi="Cambria"/>
          <w:iCs/>
          <w:color w:val="000000"/>
          <w:sz w:val="22"/>
          <w:szCs w:val="22"/>
        </w:rPr>
        <w:t>.</w:t>
      </w:r>
    </w:p>
    <w:bookmarkEnd w:id="3"/>
    <w:p w14:paraId="6C425389" w14:textId="0BBB10CD" w:rsidR="00877973" w:rsidRPr="00877973" w:rsidRDefault="00087BE2" w:rsidP="00E929C9">
      <w:pPr>
        <w:pStyle w:val="Teksttreci1"/>
        <w:numPr>
          <w:ilvl w:val="0"/>
          <w:numId w:val="6"/>
        </w:numPr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877973">
        <w:rPr>
          <w:rFonts w:ascii="Cambria" w:hAnsi="Cambria"/>
          <w:iCs/>
          <w:color w:val="000000"/>
          <w:sz w:val="22"/>
          <w:szCs w:val="22"/>
        </w:rPr>
        <w:t xml:space="preserve">Formularz: </w:t>
      </w:r>
      <w:r w:rsidRPr="00877973">
        <w:rPr>
          <w:rFonts w:ascii="Cambria" w:hAnsi="Cambria"/>
          <w:i/>
          <w:iCs/>
          <w:color w:val="000000"/>
          <w:sz w:val="22"/>
          <w:szCs w:val="22"/>
        </w:rPr>
        <w:t xml:space="preserve">Skargi 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– należy podać ilość wniesionych do OSD skarg </w:t>
      </w:r>
      <w:r w:rsidR="00E929C9">
        <w:rPr>
          <w:rFonts w:ascii="Cambria" w:hAnsi="Cambria"/>
          <w:iCs/>
          <w:color w:val="000000"/>
          <w:sz w:val="22"/>
          <w:szCs w:val="22"/>
        </w:rPr>
        <w:t>przez odbiorców końcowych w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gospodarstwa</w:t>
      </w:r>
      <w:r w:rsidR="00E929C9">
        <w:rPr>
          <w:rFonts w:ascii="Cambria" w:hAnsi="Cambria"/>
          <w:iCs/>
          <w:color w:val="000000"/>
          <w:sz w:val="22"/>
          <w:szCs w:val="22"/>
        </w:rPr>
        <w:t>ch</w:t>
      </w:r>
      <w:r w:rsidRPr="00877973">
        <w:rPr>
          <w:rFonts w:ascii="Cambria" w:hAnsi="Cambria"/>
          <w:iCs/>
          <w:color w:val="000000"/>
          <w:sz w:val="22"/>
          <w:szCs w:val="22"/>
        </w:rPr>
        <w:t xml:space="preserve"> domow</w:t>
      </w:r>
      <w:r w:rsidR="00E929C9">
        <w:rPr>
          <w:rFonts w:ascii="Cambria" w:hAnsi="Cambria"/>
          <w:iCs/>
          <w:color w:val="000000"/>
          <w:sz w:val="22"/>
          <w:szCs w:val="22"/>
        </w:rPr>
        <w:t>ych</w:t>
      </w:r>
      <w:r w:rsidRPr="00877973">
        <w:rPr>
          <w:rFonts w:ascii="Cambria" w:hAnsi="Cambria"/>
          <w:iCs/>
          <w:color w:val="000000"/>
          <w:sz w:val="22"/>
          <w:szCs w:val="22"/>
        </w:rPr>
        <w:t>.</w:t>
      </w:r>
      <w:r w:rsidR="00877973" w:rsidRPr="00877973">
        <w:rPr>
          <w:rFonts w:ascii="Cambria" w:hAnsi="Cambria"/>
          <w:iCs/>
          <w:color w:val="000000"/>
          <w:sz w:val="22"/>
          <w:szCs w:val="22"/>
        </w:rPr>
        <w:t xml:space="preserve"> </w:t>
      </w:r>
      <w:r w:rsidR="00877973" w:rsidRPr="00E929C9">
        <w:rPr>
          <w:rFonts w:ascii="Cambria" w:hAnsi="Cambria" w:cs="Tahoma"/>
          <w:color w:val="000000" w:themeColor="text1"/>
          <w:sz w:val="22"/>
          <w:szCs w:val="22"/>
          <w:shd w:val="clear" w:color="auto" w:fill="FFFFFF"/>
        </w:rPr>
        <w:t>Z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877973" w:rsidRPr="00877973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jest jako </w:t>
      </w:r>
      <w:r w:rsidR="00877973" w:rsidRPr="00877973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lastRenderedPageBreak/>
        <w:t>wyraz niezadowolenia odbiorcy, przekazany za pośrednictwem różnych możliwych środków komunikacji (pisemnie, pocztą elektroniczną, przez telefon, osobiście)</w:t>
      </w:r>
    </w:p>
    <w:p w14:paraId="2A6126BE" w14:textId="484077D7" w:rsidR="00087BE2" w:rsidRPr="00087BE2" w:rsidRDefault="00087BE2" w:rsidP="00877973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p w14:paraId="34CC510E" w14:textId="77777777" w:rsidR="00087BE2" w:rsidRPr="00087BE2" w:rsidRDefault="00087BE2" w:rsidP="00087BE2">
      <w:pPr>
        <w:pStyle w:val="Teksttreci1"/>
        <w:spacing w:before="0" w:after="120" w:line="360" w:lineRule="auto"/>
        <w:ind w:left="360" w:firstLine="0"/>
        <w:rPr>
          <w:rFonts w:ascii="Cambria" w:hAnsi="Cambria"/>
          <w:sz w:val="22"/>
          <w:szCs w:val="22"/>
        </w:rPr>
      </w:pPr>
    </w:p>
    <w:sectPr w:rsidR="00087BE2" w:rsidRPr="00087BE2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8625" w16cex:dateUtc="2022-01-12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6B29B1" w16cid:durableId="258986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138E" w:rsidRPr="0054138E">
                            <w:rPr>
                              <w:rStyle w:val="Nagweklubstopka105pt"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138E" w:rsidRPr="0054138E">
                      <w:rPr>
                        <w:rStyle w:val="Nagweklubstopka105pt"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54C1A81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724E0A"/>
    <w:multiLevelType w:val="hybridMultilevel"/>
    <w:tmpl w:val="58787258"/>
    <w:lvl w:ilvl="0" w:tplc="21006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D3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49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6C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A9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2BF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6C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07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CA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5C3"/>
    <w:multiLevelType w:val="multilevel"/>
    <w:tmpl w:val="E294FD3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AE52CD"/>
    <w:multiLevelType w:val="hybridMultilevel"/>
    <w:tmpl w:val="7AF0C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891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774CC"/>
    <w:rsid w:val="0008644E"/>
    <w:rsid w:val="00086B3D"/>
    <w:rsid w:val="00087BE2"/>
    <w:rsid w:val="00087F10"/>
    <w:rsid w:val="00095D38"/>
    <w:rsid w:val="000A3371"/>
    <w:rsid w:val="000A58BE"/>
    <w:rsid w:val="000D07AE"/>
    <w:rsid w:val="00102B1A"/>
    <w:rsid w:val="001051FB"/>
    <w:rsid w:val="00106EBC"/>
    <w:rsid w:val="001307EC"/>
    <w:rsid w:val="0015423E"/>
    <w:rsid w:val="00154454"/>
    <w:rsid w:val="00155C30"/>
    <w:rsid w:val="00182A5C"/>
    <w:rsid w:val="001976FD"/>
    <w:rsid w:val="001A6350"/>
    <w:rsid w:val="001B4E9E"/>
    <w:rsid w:val="001C640A"/>
    <w:rsid w:val="001D392F"/>
    <w:rsid w:val="001E422F"/>
    <w:rsid w:val="001E62B0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2F17DE"/>
    <w:rsid w:val="00307505"/>
    <w:rsid w:val="0031180C"/>
    <w:rsid w:val="00323682"/>
    <w:rsid w:val="00324239"/>
    <w:rsid w:val="00325573"/>
    <w:rsid w:val="00364E3A"/>
    <w:rsid w:val="00376CEF"/>
    <w:rsid w:val="003849B8"/>
    <w:rsid w:val="00394D19"/>
    <w:rsid w:val="003A4557"/>
    <w:rsid w:val="003B78C0"/>
    <w:rsid w:val="003C7923"/>
    <w:rsid w:val="003E7EAD"/>
    <w:rsid w:val="00414070"/>
    <w:rsid w:val="00451E4C"/>
    <w:rsid w:val="00456D5C"/>
    <w:rsid w:val="00484908"/>
    <w:rsid w:val="004A26C5"/>
    <w:rsid w:val="004A50E7"/>
    <w:rsid w:val="004B04DA"/>
    <w:rsid w:val="004B2CB0"/>
    <w:rsid w:val="004C0D9F"/>
    <w:rsid w:val="004C2936"/>
    <w:rsid w:val="004E5BAF"/>
    <w:rsid w:val="004E662D"/>
    <w:rsid w:val="004F767D"/>
    <w:rsid w:val="0054138E"/>
    <w:rsid w:val="00541CC1"/>
    <w:rsid w:val="0055146D"/>
    <w:rsid w:val="00553825"/>
    <w:rsid w:val="00554CAD"/>
    <w:rsid w:val="00577259"/>
    <w:rsid w:val="00580413"/>
    <w:rsid w:val="0059091B"/>
    <w:rsid w:val="0059633B"/>
    <w:rsid w:val="0059690E"/>
    <w:rsid w:val="005A3A21"/>
    <w:rsid w:val="005A4491"/>
    <w:rsid w:val="005B6A5E"/>
    <w:rsid w:val="005C2D09"/>
    <w:rsid w:val="005D584D"/>
    <w:rsid w:val="005E44F7"/>
    <w:rsid w:val="0060365F"/>
    <w:rsid w:val="0062527F"/>
    <w:rsid w:val="006314D2"/>
    <w:rsid w:val="00636E76"/>
    <w:rsid w:val="0066230A"/>
    <w:rsid w:val="00662ADB"/>
    <w:rsid w:val="00664AE7"/>
    <w:rsid w:val="00692316"/>
    <w:rsid w:val="00697AD1"/>
    <w:rsid w:val="006A6F7F"/>
    <w:rsid w:val="006B6B63"/>
    <w:rsid w:val="006B738A"/>
    <w:rsid w:val="006C0C52"/>
    <w:rsid w:val="006F6ADB"/>
    <w:rsid w:val="00703EBF"/>
    <w:rsid w:val="007241E8"/>
    <w:rsid w:val="00743F03"/>
    <w:rsid w:val="00750F2F"/>
    <w:rsid w:val="00763F50"/>
    <w:rsid w:val="00764BBF"/>
    <w:rsid w:val="0076720B"/>
    <w:rsid w:val="007701B0"/>
    <w:rsid w:val="00785C27"/>
    <w:rsid w:val="00796AEA"/>
    <w:rsid w:val="00796B24"/>
    <w:rsid w:val="0079765F"/>
    <w:rsid w:val="007B0FA9"/>
    <w:rsid w:val="007C38C9"/>
    <w:rsid w:val="007C4633"/>
    <w:rsid w:val="007C75B9"/>
    <w:rsid w:val="007E7189"/>
    <w:rsid w:val="00803191"/>
    <w:rsid w:val="00803586"/>
    <w:rsid w:val="00803786"/>
    <w:rsid w:val="00817329"/>
    <w:rsid w:val="0083668D"/>
    <w:rsid w:val="008420B9"/>
    <w:rsid w:val="00870D21"/>
    <w:rsid w:val="00877973"/>
    <w:rsid w:val="00890834"/>
    <w:rsid w:val="008967BA"/>
    <w:rsid w:val="008B14CA"/>
    <w:rsid w:val="008B64EF"/>
    <w:rsid w:val="008C334F"/>
    <w:rsid w:val="008C47EF"/>
    <w:rsid w:val="008D5F72"/>
    <w:rsid w:val="008F4763"/>
    <w:rsid w:val="0092157A"/>
    <w:rsid w:val="0095416C"/>
    <w:rsid w:val="00957ECB"/>
    <w:rsid w:val="0096131C"/>
    <w:rsid w:val="009710CD"/>
    <w:rsid w:val="00985742"/>
    <w:rsid w:val="009B1CDC"/>
    <w:rsid w:val="009B5E66"/>
    <w:rsid w:val="009B6C63"/>
    <w:rsid w:val="009C06F9"/>
    <w:rsid w:val="009C415A"/>
    <w:rsid w:val="009D734D"/>
    <w:rsid w:val="009E4F38"/>
    <w:rsid w:val="009F1DE9"/>
    <w:rsid w:val="009F2275"/>
    <w:rsid w:val="009F3F53"/>
    <w:rsid w:val="009F7B03"/>
    <w:rsid w:val="00A0471B"/>
    <w:rsid w:val="00A35702"/>
    <w:rsid w:val="00A500E8"/>
    <w:rsid w:val="00A5432E"/>
    <w:rsid w:val="00A6281A"/>
    <w:rsid w:val="00A64B8C"/>
    <w:rsid w:val="00A75151"/>
    <w:rsid w:val="00AA33CA"/>
    <w:rsid w:val="00AA4A08"/>
    <w:rsid w:val="00AC0C12"/>
    <w:rsid w:val="00AE270D"/>
    <w:rsid w:val="00AE750B"/>
    <w:rsid w:val="00AF1584"/>
    <w:rsid w:val="00AF159B"/>
    <w:rsid w:val="00B066BF"/>
    <w:rsid w:val="00B212DA"/>
    <w:rsid w:val="00B247A3"/>
    <w:rsid w:val="00B3311B"/>
    <w:rsid w:val="00B4725A"/>
    <w:rsid w:val="00B570B1"/>
    <w:rsid w:val="00B74982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C0256E"/>
    <w:rsid w:val="00C11B8B"/>
    <w:rsid w:val="00C16EA2"/>
    <w:rsid w:val="00C27284"/>
    <w:rsid w:val="00C44BDF"/>
    <w:rsid w:val="00C66206"/>
    <w:rsid w:val="00C71A3B"/>
    <w:rsid w:val="00C71AB1"/>
    <w:rsid w:val="00C8611A"/>
    <w:rsid w:val="00C86FD3"/>
    <w:rsid w:val="00C91054"/>
    <w:rsid w:val="00CA3C68"/>
    <w:rsid w:val="00CC4A57"/>
    <w:rsid w:val="00CC4FC9"/>
    <w:rsid w:val="00CD2C82"/>
    <w:rsid w:val="00CF4AA0"/>
    <w:rsid w:val="00D023AF"/>
    <w:rsid w:val="00D0598D"/>
    <w:rsid w:val="00D13D01"/>
    <w:rsid w:val="00D34BCE"/>
    <w:rsid w:val="00D36D85"/>
    <w:rsid w:val="00D41286"/>
    <w:rsid w:val="00D42362"/>
    <w:rsid w:val="00D51EB8"/>
    <w:rsid w:val="00D542A5"/>
    <w:rsid w:val="00D9670E"/>
    <w:rsid w:val="00DB36CC"/>
    <w:rsid w:val="00DC15E2"/>
    <w:rsid w:val="00DD14E7"/>
    <w:rsid w:val="00DD2230"/>
    <w:rsid w:val="00DD2F14"/>
    <w:rsid w:val="00DE2FCD"/>
    <w:rsid w:val="00E055A3"/>
    <w:rsid w:val="00E1678A"/>
    <w:rsid w:val="00E201AF"/>
    <w:rsid w:val="00E6606A"/>
    <w:rsid w:val="00E929C9"/>
    <w:rsid w:val="00E97CF5"/>
    <w:rsid w:val="00EA7885"/>
    <w:rsid w:val="00EB2683"/>
    <w:rsid w:val="00EB2C38"/>
    <w:rsid w:val="00EC4116"/>
    <w:rsid w:val="00ED3227"/>
    <w:rsid w:val="00F3265D"/>
    <w:rsid w:val="00F415F3"/>
    <w:rsid w:val="00F42510"/>
    <w:rsid w:val="00F5011F"/>
    <w:rsid w:val="00F501CC"/>
    <w:rsid w:val="00F5402A"/>
    <w:rsid w:val="00F54F29"/>
    <w:rsid w:val="00F57340"/>
    <w:rsid w:val="00F613AF"/>
    <w:rsid w:val="00F61862"/>
    <w:rsid w:val="00F66B52"/>
    <w:rsid w:val="00F7095B"/>
    <w:rsid w:val="00F73B83"/>
    <w:rsid w:val="00FB08C5"/>
    <w:rsid w:val="00FD1510"/>
    <w:rsid w:val="00FD1C66"/>
    <w:rsid w:val="00FD2229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4E3A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52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1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85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69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54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027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083">
          <w:marLeft w:val="979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03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38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175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359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02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247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792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C394-EBE1-4BD0-976D-77889847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2322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Łuba Agnieszka</cp:lastModifiedBy>
  <cp:revision>15</cp:revision>
  <cp:lastPrinted>2020-01-13T09:26:00Z</cp:lastPrinted>
  <dcterms:created xsi:type="dcterms:W3CDTF">2021-12-03T07:31:00Z</dcterms:created>
  <dcterms:modified xsi:type="dcterms:W3CDTF">2022-01-13T11:29:00Z</dcterms:modified>
</cp:coreProperties>
</file>